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311B" w14:textId="252800E0" w:rsidR="00EF01E5" w:rsidRDefault="00F83C89" w:rsidP="006F65E6">
      <w:pPr>
        <w:spacing w:before="120" w:after="0" w:line="360" w:lineRule="auto"/>
        <w:jc w:val="center"/>
        <w:rPr>
          <w:rFonts w:ascii="Arial" w:eastAsia="Times New Roman" w:hAnsi="Arial" w:cs="Arial"/>
          <w:b/>
          <w:sz w:val="36"/>
          <w:szCs w:val="36"/>
          <w:u w:val="single"/>
          <w:lang w:eastAsia="fr-FR"/>
        </w:rPr>
      </w:pPr>
      <w:r>
        <w:rPr>
          <w:rFonts w:ascii="Arial" w:eastAsia="Times New Roman" w:hAnsi="Arial" w:cs="Arial"/>
          <w:b/>
          <w:sz w:val="36"/>
          <w:szCs w:val="36"/>
          <w:u w:val="single"/>
          <w:lang w:eastAsia="fr-FR"/>
        </w:rPr>
        <w:t>Bilan</w:t>
      </w:r>
      <w:r w:rsidR="00A8223C">
        <w:rPr>
          <w:rFonts w:ascii="Arial" w:eastAsia="Times New Roman" w:hAnsi="Arial" w:cs="Arial"/>
          <w:b/>
          <w:sz w:val="36"/>
          <w:szCs w:val="36"/>
          <w:u w:val="single"/>
          <w:lang w:eastAsia="fr-FR"/>
        </w:rPr>
        <w:t xml:space="preserve"> </w:t>
      </w:r>
      <w:r w:rsidR="00312D91">
        <w:rPr>
          <w:rFonts w:ascii="Arial" w:eastAsia="Times New Roman" w:hAnsi="Arial" w:cs="Arial"/>
          <w:b/>
          <w:sz w:val="36"/>
          <w:szCs w:val="36"/>
          <w:u w:val="single"/>
          <w:lang w:eastAsia="fr-FR"/>
        </w:rPr>
        <w:t>202</w:t>
      </w:r>
      <w:r w:rsidR="007E22F4">
        <w:rPr>
          <w:rFonts w:ascii="Arial" w:eastAsia="Times New Roman" w:hAnsi="Arial" w:cs="Arial"/>
          <w:b/>
          <w:sz w:val="36"/>
          <w:szCs w:val="36"/>
          <w:u w:val="single"/>
          <w:lang w:eastAsia="fr-FR"/>
        </w:rPr>
        <w:t>3</w:t>
      </w:r>
      <w:r>
        <w:rPr>
          <w:rFonts w:ascii="Arial" w:eastAsia="Times New Roman" w:hAnsi="Arial" w:cs="Arial"/>
          <w:b/>
          <w:sz w:val="36"/>
          <w:szCs w:val="36"/>
          <w:u w:val="single"/>
          <w:lang w:eastAsia="fr-FR"/>
        </w:rPr>
        <w:t xml:space="preserve"> et prévisions 202</w:t>
      </w:r>
      <w:r w:rsidR="007E22F4">
        <w:rPr>
          <w:rFonts w:ascii="Arial" w:eastAsia="Times New Roman" w:hAnsi="Arial" w:cs="Arial"/>
          <w:b/>
          <w:sz w:val="36"/>
          <w:szCs w:val="36"/>
          <w:u w:val="single"/>
          <w:lang w:eastAsia="fr-FR"/>
        </w:rPr>
        <w:t>4</w:t>
      </w:r>
    </w:p>
    <w:p w14:paraId="3E7444E5" w14:textId="77777777" w:rsidR="006F65E6" w:rsidRPr="006F65E6" w:rsidRDefault="006F65E6" w:rsidP="006F65E6">
      <w:pPr>
        <w:spacing w:after="0" w:line="240" w:lineRule="auto"/>
        <w:jc w:val="both"/>
        <w:rPr>
          <w:rFonts w:ascii="Arial" w:hAnsi="Arial" w:cs="Arial"/>
          <w:color w:val="000000" w:themeColor="text1"/>
        </w:rPr>
      </w:pPr>
    </w:p>
    <w:tbl>
      <w:tblPr>
        <w:tblStyle w:val="Grilledutableau"/>
        <w:tblW w:w="0" w:type="auto"/>
        <w:tblLook w:val="04A0" w:firstRow="1" w:lastRow="0" w:firstColumn="1" w:lastColumn="0" w:noHBand="0" w:noVBand="1"/>
      </w:tblPr>
      <w:tblGrid>
        <w:gridCol w:w="9062"/>
      </w:tblGrid>
      <w:tr w:rsidR="00EF01E5" w14:paraId="50463381" w14:textId="77777777" w:rsidTr="00EF01E5">
        <w:tc>
          <w:tcPr>
            <w:tcW w:w="9062" w:type="dxa"/>
          </w:tcPr>
          <w:p w14:paraId="7B1F87BB" w14:textId="69DF6B27" w:rsidR="004721AE" w:rsidRDefault="001C069D" w:rsidP="001222BE">
            <w:pPr>
              <w:pBdr>
                <w:top w:val="single" w:sz="2" w:space="1" w:color="auto"/>
                <w:left w:val="single" w:sz="2" w:space="4" w:color="auto"/>
                <w:bottom w:val="single" w:sz="2" w:space="1" w:color="auto"/>
                <w:right w:val="single" w:sz="2" w:space="4" w:color="auto"/>
              </w:pBdr>
              <w:spacing w:after="120" w:line="312" w:lineRule="auto"/>
              <w:jc w:val="both"/>
              <w:rPr>
                <w:rFonts w:ascii="Arial" w:hAnsi="Arial" w:cs="Arial"/>
                <w:b/>
                <w:bCs/>
              </w:rPr>
            </w:pPr>
            <w:r>
              <w:rPr>
                <w:rFonts w:ascii="Arial" w:hAnsi="Arial" w:cs="Arial"/>
                <w:b/>
                <w:bCs/>
              </w:rPr>
              <w:t>En 2023, l</w:t>
            </w:r>
            <w:r w:rsidR="001222BE">
              <w:rPr>
                <w:rFonts w:ascii="Arial" w:hAnsi="Arial" w:cs="Arial"/>
                <w:b/>
                <w:bCs/>
              </w:rPr>
              <w:t>’activité</w:t>
            </w:r>
            <w:r>
              <w:rPr>
                <w:rFonts w:ascii="Arial" w:hAnsi="Arial" w:cs="Arial"/>
                <w:b/>
                <w:bCs/>
              </w:rPr>
              <w:t xml:space="preserve"> bâtiment </w:t>
            </w:r>
            <w:r w:rsidR="001222BE">
              <w:rPr>
                <w:rFonts w:ascii="Arial" w:hAnsi="Arial" w:cs="Arial"/>
                <w:b/>
                <w:bCs/>
              </w:rPr>
              <w:t>baisse</w:t>
            </w:r>
            <w:r>
              <w:rPr>
                <w:rFonts w:ascii="Arial" w:hAnsi="Arial" w:cs="Arial"/>
                <w:b/>
                <w:bCs/>
              </w:rPr>
              <w:t xml:space="preserve"> de 0,6 % en volume. En détail, le logement neuf </w:t>
            </w:r>
            <w:r w:rsidR="001222BE">
              <w:rPr>
                <w:rFonts w:ascii="Arial" w:hAnsi="Arial" w:cs="Arial"/>
                <w:b/>
                <w:bCs/>
              </w:rPr>
              <w:t>recule de</w:t>
            </w:r>
            <w:r>
              <w:rPr>
                <w:rFonts w:ascii="Arial" w:hAnsi="Arial" w:cs="Arial"/>
                <w:b/>
                <w:bCs/>
              </w:rPr>
              <w:t xml:space="preserve"> 7,8 %, avec seulement 286 000 mises en chantier, niveau proche de ses plus bas historiques relevés au début des années </w:t>
            </w:r>
            <w:r w:rsidR="001222BE">
              <w:rPr>
                <w:rFonts w:ascii="Arial" w:hAnsi="Arial" w:cs="Arial"/>
                <w:b/>
                <w:bCs/>
              </w:rPr>
              <w:t>19</w:t>
            </w:r>
            <w:r>
              <w:rPr>
                <w:rFonts w:ascii="Arial" w:hAnsi="Arial" w:cs="Arial"/>
                <w:b/>
                <w:bCs/>
              </w:rPr>
              <w:t>90</w:t>
            </w:r>
            <w:r w:rsidR="001222BE">
              <w:rPr>
                <w:rFonts w:ascii="Arial" w:hAnsi="Arial" w:cs="Arial"/>
                <w:b/>
                <w:bCs/>
              </w:rPr>
              <w:t xml:space="preserve"> (</w:t>
            </w:r>
            <w:r>
              <w:rPr>
                <w:rFonts w:ascii="Arial" w:hAnsi="Arial" w:cs="Arial"/>
                <w:b/>
                <w:bCs/>
              </w:rPr>
              <w:t>à 275 000 unités</w:t>
            </w:r>
            <w:r w:rsidR="001222BE">
              <w:rPr>
                <w:rFonts w:ascii="Arial" w:hAnsi="Arial" w:cs="Arial"/>
                <w:b/>
                <w:bCs/>
              </w:rPr>
              <w:t>)</w:t>
            </w:r>
            <w:r>
              <w:rPr>
                <w:rFonts w:ascii="Arial" w:hAnsi="Arial" w:cs="Arial"/>
                <w:b/>
                <w:bCs/>
              </w:rPr>
              <w:t>. La production en non résidentiel neuf résiste, à +0,4 %, ma</w:t>
            </w:r>
            <w:r w:rsidR="001222BE">
              <w:rPr>
                <w:rFonts w:ascii="Arial" w:hAnsi="Arial" w:cs="Arial"/>
                <w:b/>
                <w:bCs/>
              </w:rPr>
              <w:t>is les surfaces commencées connaissent leur plus faible score depuis 1986, avec</w:t>
            </w:r>
            <w:r>
              <w:rPr>
                <w:rFonts w:ascii="Arial" w:hAnsi="Arial" w:cs="Arial"/>
                <w:b/>
                <w:bCs/>
              </w:rPr>
              <w:t xml:space="preserve"> 22,7 millions de m². Seule l’amélioration-entretien </w:t>
            </w:r>
            <w:r w:rsidR="001222BE">
              <w:rPr>
                <w:rFonts w:ascii="Arial" w:hAnsi="Arial" w:cs="Arial"/>
                <w:b/>
                <w:bCs/>
              </w:rPr>
              <w:t>ressort</w:t>
            </w:r>
            <w:r w:rsidR="009E280E">
              <w:rPr>
                <w:rFonts w:ascii="Arial" w:hAnsi="Arial" w:cs="Arial"/>
                <w:b/>
                <w:bCs/>
              </w:rPr>
              <w:t xml:space="preserve"> en hausse, et accélère même à +2,6 %</w:t>
            </w:r>
            <w:r w:rsidR="001222BE">
              <w:rPr>
                <w:rFonts w:ascii="Arial" w:hAnsi="Arial" w:cs="Arial"/>
                <w:b/>
                <w:bCs/>
              </w:rPr>
              <w:t xml:space="preserve"> hors effet prix</w:t>
            </w:r>
            <w:r w:rsidR="00CF690E">
              <w:rPr>
                <w:rFonts w:ascii="Arial" w:hAnsi="Arial" w:cs="Arial"/>
                <w:b/>
                <w:bCs/>
              </w:rPr>
              <w:t xml:space="preserve">, </w:t>
            </w:r>
            <w:r w:rsidR="001222BE">
              <w:rPr>
                <w:rFonts w:ascii="Arial" w:hAnsi="Arial" w:cs="Arial"/>
                <w:b/>
                <w:bCs/>
              </w:rPr>
              <w:t>portée par</w:t>
            </w:r>
            <w:r w:rsidR="00CF690E">
              <w:rPr>
                <w:rFonts w:ascii="Arial" w:hAnsi="Arial" w:cs="Arial"/>
                <w:b/>
                <w:bCs/>
              </w:rPr>
              <w:t xml:space="preserve"> la rénovation énergétique</w:t>
            </w:r>
            <w:r w:rsidR="001222BE">
              <w:rPr>
                <w:rFonts w:ascii="Arial" w:hAnsi="Arial" w:cs="Arial"/>
                <w:b/>
                <w:bCs/>
              </w:rPr>
              <w:t xml:space="preserve"> qui s’affiche</w:t>
            </w:r>
            <w:r w:rsidR="00CF690E">
              <w:rPr>
                <w:rFonts w:ascii="Arial" w:hAnsi="Arial" w:cs="Arial"/>
                <w:b/>
                <w:bCs/>
              </w:rPr>
              <w:t xml:space="preserve"> à +3,0 %</w:t>
            </w:r>
            <w:r w:rsidR="009E280E">
              <w:rPr>
                <w:rFonts w:ascii="Arial" w:hAnsi="Arial" w:cs="Arial"/>
                <w:b/>
                <w:bCs/>
              </w:rPr>
              <w:t xml:space="preserve">. Après </w:t>
            </w:r>
            <w:r w:rsidR="00232018">
              <w:rPr>
                <w:rFonts w:ascii="Arial" w:hAnsi="Arial" w:cs="Arial"/>
                <w:b/>
                <w:bCs/>
              </w:rPr>
              <w:t>six</w:t>
            </w:r>
            <w:r w:rsidR="001222BE">
              <w:rPr>
                <w:rFonts w:ascii="Arial" w:hAnsi="Arial" w:cs="Arial"/>
                <w:b/>
                <w:bCs/>
              </w:rPr>
              <w:t xml:space="preserve"> </w:t>
            </w:r>
            <w:r w:rsidR="009E280E">
              <w:rPr>
                <w:rFonts w:ascii="Arial" w:hAnsi="Arial" w:cs="Arial"/>
                <w:b/>
                <w:bCs/>
              </w:rPr>
              <w:t xml:space="preserve">années de </w:t>
            </w:r>
            <w:r w:rsidR="001222BE">
              <w:rPr>
                <w:rFonts w:ascii="Arial" w:hAnsi="Arial" w:cs="Arial"/>
                <w:b/>
                <w:bCs/>
              </w:rPr>
              <w:t xml:space="preserve">vive </w:t>
            </w:r>
            <w:r w:rsidR="009E280E">
              <w:rPr>
                <w:rFonts w:ascii="Arial" w:hAnsi="Arial" w:cs="Arial"/>
                <w:b/>
                <w:bCs/>
              </w:rPr>
              <w:t xml:space="preserve">croissance, l’emploi </w:t>
            </w:r>
            <w:r w:rsidR="001222BE">
              <w:rPr>
                <w:rFonts w:ascii="Arial" w:hAnsi="Arial" w:cs="Arial"/>
                <w:b/>
                <w:bCs/>
              </w:rPr>
              <w:t>fléchit</w:t>
            </w:r>
            <w:r w:rsidR="009E280E">
              <w:rPr>
                <w:rFonts w:ascii="Arial" w:hAnsi="Arial" w:cs="Arial"/>
                <w:b/>
                <w:bCs/>
              </w:rPr>
              <w:t xml:space="preserve">, </w:t>
            </w:r>
            <w:r w:rsidR="001222BE">
              <w:rPr>
                <w:rFonts w:ascii="Arial" w:hAnsi="Arial" w:cs="Arial"/>
                <w:b/>
                <w:bCs/>
              </w:rPr>
              <w:t xml:space="preserve">avec </w:t>
            </w:r>
            <w:r w:rsidR="009E280E">
              <w:rPr>
                <w:rFonts w:ascii="Arial" w:hAnsi="Arial" w:cs="Arial"/>
                <w:b/>
                <w:bCs/>
              </w:rPr>
              <w:t>3 000 postes salariés et intérimaires en équivalent-emplois à temps plein</w:t>
            </w:r>
            <w:r w:rsidR="0077521C">
              <w:rPr>
                <w:rFonts w:ascii="Arial" w:hAnsi="Arial" w:cs="Arial"/>
                <w:b/>
                <w:bCs/>
              </w:rPr>
              <w:t xml:space="preserve"> </w:t>
            </w:r>
            <w:r w:rsidR="00A95670">
              <w:rPr>
                <w:rFonts w:ascii="Arial" w:hAnsi="Arial" w:cs="Arial"/>
                <w:b/>
                <w:bCs/>
              </w:rPr>
              <w:t xml:space="preserve">(ETP) </w:t>
            </w:r>
            <w:r w:rsidR="0077521C">
              <w:rPr>
                <w:rFonts w:ascii="Arial" w:hAnsi="Arial" w:cs="Arial"/>
                <w:b/>
                <w:bCs/>
              </w:rPr>
              <w:t>détruits</w:t>
            </w:r>
            <w:r w:rsidR="009E280E">
              <w:rPr>
                <w:rFonts w:ascii="Arial" w:hAnsi="Arial" w:cs="Arial"/>
                <w:b/>
                <w:bCs/>
              </w:rPr>
              <w:t>.</w:t>
            </w:r>
          </w:p>
          <w:p w14:paraId="4AA25290" w14:textId="316EA2B2" w:rsidR="00A95670" w:rsidRPr="006914B0" w:rsidRDefault="00FD31EE" w:rsidP="001C069D">
            <w:pPr>
              <w:pBdr>
                <w:top w:val="single" w:sz="2" w:space="1" w:color="auto"/>
                <w:left w:val="single" w:sz="2" w:space="4" w:color="auto"/>
                <w:bottom w:val="single" w:sz="2" w:space="1" w:color="auto"/>
                <w:right w:val="single" w:sz="2" w:space="4" w:color="auto"/>
              </w:pBdr>
              <w:spacing w:line="312" w:lineRule="auto"/>
              <w:jc w:val="both"/>
              <w:rPr>
                <w:rFonts w:ascii="Arial" w:hAnsi="Arial" w:cs="Arial"/>
                <w:b/>
              </w:rPr>
            </w:pPr>
            <w:r>
              <w:rPr>
                <w:rFonts w:ascii="Arial" w:hAnsi="Arial" w:cs="Arial"/>
                <w:b/>
              </w:rPr>
              <w:t xml:space="preserve">Le contexte 2024 </w:t>
            </w:r>
            <w:r w:rsidR="00F3595A">
              <w:rPr>
                <w:rFonts w:ascii="Arial" w:hAnsi="Arial" w:cs="Arial"/>
                <w:b/>
              </w:rPr>
              <w:t>restera</w:t>
            </w:r>
            <w:r>
              <w:rPr>
                <w:rFonts w:ascii="Arial" w:hAnsi="Arial" w:cs="Arial"/>
                <w:b/>
              </w:rPr>
              <w:t xml:space="preserve"> peu favorable pour le bâtiment, malgré </w:t>
            </w:r>
            <w:r w:rsidR="00F3595A">
              <w:rPr>
                <w:rFonts w:ascii="Arial" w:hAnsi="Arial" w:cs="Arial"/>
                <w:b/>
              </w:rPr>
              <w:t>une</w:t>
            </w:r>
            <w:r>
              <w:rPr>
                <w:rFonts w:ascii="Arial" w:hAnsi="Arial" w:cs="Arial"/>
                <w:b/>
              </w:rPr>
              <w:t xml:space="preserve"> stabilisation, voire </w:t>
            </w:r>
            <w:r w:rsidR="00F3595A">
              <w:rPr>
                <w:rFonts w:ascii="Arial" w:hAnsi="Arial" w:cs="Arial"/>
                <w:b/>
              </w:rPr>
              <w:t xml:space="preserve">une très modeste baisse des taux d’intérêt. De fait, la montée du chômage et la très faible croissance attendue (+0,4 % en volume) se révèleront peu favorables à des investissements de long terme. La dégradation de l’environnement institutionnel viendra renforcer ce mouvement de fond, avec les amputations annoncées sur le PTZ, la fin programmée du « Pinel » en 2025, mais aussi la réforme assez déstabilisante de </w:t>
            </w:r>
            <w:proofErr w:type="spellStart"/>
            <w:r w:rsidR="00F3595A">
              <w:rPr>
                <w:rFonts w:ascii="Arial" w:hAnsi="Arial" w:cs="Arial"/>
                <w:b/>
              </w:rPr>
              <w:t>MaPrimeRénov</w:t>
            </w:r>
            <w:proofErr w:type="spellEnd"/>
            <w:r w:rsidR="00F3595A">
              <w:rPr>
                <w:rFonts w:ascii="Arial" w:hAnsi="Arial" w:cs="Arial"/>
                <w:b/>
              </w:rPr>
              <w:t>’</w:t>
            </w:r>
            <w:r w:rsidR="000928AB">
              <w:rPr>
                <w:rFonts w:ascii="Arial" w:hAnsi="Arial" w:cs="Arial"/>
                <w:b/>
              </w:rPr>
              <w:t xml:space="preserve"> (limitation des rénovations par geste, mise en place complexe de Mon Accompagnateur </w:t>
            </w:r>
            <w:proofErr w:type="spellStart"/>
            <w:r w:rsidR="000928AB">
              <w:rPr>
                <w:rFonts w:ascii="Arial" w:hAnsi="Arial" w:cs="Arial"/>
                <w:b/>
              </w:rPr>
              <w:t>Rénov</w:t>
            </w:r>
            <w:proofErr w:type="spellEnd"/>
            <w:r w:rsidR="00232018">
              <w:rPr>
                <w:rFonts w:ascii="Arial" w:hAnsi="Arial" w:cs="Arial"/>
                <w:b/>
              </w:rPr>
              <w:t>’</w:t>
            </w:r>
            <w:r w:rsidR="000928AB">
              <w:rPr>
                <w:rFonts w:ascii="Arial" w:hAnsi="Arial" w:cs="Arial"/>
                <w:b/>
              </w:rPr>
              <w:t>)</w:t>
            </w:r>
            <w:r w:rsidR="00F3595A">
              <w:rPr>
                <w:rFonts w:ascii="Arial" w:hAnsi="Arial" w:cs="Arial"/>
                <w:b/>
              </w:rPr>
              <w:t xml:space="preserve">. En conséquence, </w:t>
            </w:r>
            <w:r w:rsidR="003A4609">
              <w:rPr>
                <w:rFonts w:ascii="Arial" w:hAnsi="Arial" w:cs="Arial"/>
                <w:b/>
              </w:rPr>
              <w:t xml:space="preserve">2024 </w:t>
            </w:r>
            <w:r w:rsidR="001222BE">
              <w:rPr>
                <w:rFonts w:ascii="Arial" w:hAnsi="Arial" w:cs="Arial"/>
                <w:b/>
              </w:rPr>
              <w:t xml:space="preserve">marquera </w:t>
            </w:r>
            <w:r>
              <w:rPr>
                <w:rFonts w:ascii="Arial" w:hAnsi="Arial" w:cs="Arial"/>
                <w:b/>
              </w:rPr>
              <w:t>l’entrée en</w:t>
            </w:r>
            <w:r w:rsidR="003A4609">
              <w:rPr>
                <w:rFonts w:ascii="Arial" w:hAnsi="Arial" w:cs="Arial"/>
                <w:b/>
              </w:rPr>
              <w:t xml:space="preserve"> récession </w:t>
            </w:r>
            <w:r>
              <w:rPr>
                <w:rFonts w:ascii="Arial" w:hAnsi="Arial" w:cs="Arial"/>
                <w:b/>
              </w:rPr>
              <w:t>du</w:t>
            </w:r>
            <w:r w:rsidR="003A4609">
              <w:rPr>
                <w:rFonts w:ascii="Arial" w:hAnsi="Arial" w:cs="Arial"/>
                <w:b/>
              </w:rPr>
              <w:t xml:space="preserve"> bâtiment</w:t>
            </w:r>
            <w:r>
              <w:rPr>
                <w:rFonts w:ascii="Arial" w:hAnsi="Arial" w:cs="Arial"/>
                <w:b/>
              </w:rPr>
              <w:t>, avec un recul de 5,5 % du chiffre d’affaires en volume, tiré vers le bas par</w:t>
            </w:r>
            <w:r w:rsidR="003A4609">
              <w:rPr>
                <w:rFonts w:ascii="Arial" w:hAnsi="Arial" w:cs="Arial"/>
                <w:b/>
              </w:rPr>
              <w:t xml:space="preserve"> la chute </w:t>
            </w:r>
            <w:r>
              <w:rPr>
                <w:rFonts w:ascii="Arial" w:hAnsi="Arial" w:cs="Arial"/>
                <w:b/>
              </w:rPr>
              <w:t xml:space="preserve">de 14,6 % </w:t>
            </w:r>
            <w:r w:rsidR="003A4609">
              <w:rPr>
                <w:rFonts w:ascii="Arial" w:hAnsi="Arial" w:cs="Arial"/>
                <w:b/>
              </w:rPr>
              <w:t>du neuf. Plus précisément, l</w:t>
            </w:r>
            <w:r>
              <w:rPr>
                <w:rFonts w:ascii="Arial" w:hAnsi="Arial" w:cs="Arial"/>
                <w:b/>
              </w:rPr>
              <w:t>’activité en</w:t>
            </w:r>
            <w:r w:rsidR="003A4609">
              <w:rPr>
                <w:rFonts w:ascii="Arial" w:hAnsi="Arial" w:cs="Arial"/>
                <w:b/>
              </w:rPr>
              <w:t xml:space="preserve"> logement neuf </w:t>
            </w:r>
            <w:r>
              <w:rPr>
                <w:rFonts w:ascii="Arial" w:hAnsi="Arial" w:cs="Arial"/>
                <w:b/>
              </w:rPr>
              <w:t>plongera de</w:t>
            </w:r>
            <w:r w:rsidR="003A4609">
              <w:rPr>
                <w:rFonts w:ascii="Arial" w:hAnsi="Arial" w:cs="Arial"/>
                <w:b/>
              </w:rPr>
              <w:t xml:space="preserve"> 21,3 %, </w:t>
            </w:r>
            <w:r>
              <w:rPr>
                <w:rFonts w:ascii="Arial" w:hAnsi="Arial" w:cs="Arial"/>
                <w:b/>
              </w:rPr>
              <w:t>pénalisé</w:t>
            </w:r>
            <w:r w:rsidR="00AD07E6">
              <w:rPr>
                <w:rFonts w:ascii="Arial" w:hAnsi="Arial" w:cs="Arial"/>
                <w:b/>
              </w:rPr>
              <w:t>e</w:t>
            </w:r>
            <w:r>
              <w:rPr>
                <w:rFonts w:ascii="Arial" w:hAnsi="Arial" w:cs="Arial"/>
                <w:b/>
              </w:rPr>
              <w:t xml:space="preserve"> par la</w:t>
            </w:r>
            <w:r w:rsidR="00B32E6A">
              <w:rPr>
                <w:rFonts w:ascii="Arial" w:hAnsi="Arial" w:cs="Arial"/>
                <w:b/>
              </w:rPr>
              <w:t xml:space="preserve"> poursuite </w:t>
            </w:r>
            <w:r w:rsidR="003108FF">
              <w:rPr>
                <w:rFonts w:ascii="Arial" w:hAnsi="Arial" w:cs="Arial"/>
                <w:b/>
              </w:rPr>
              <w:t xml:space="preserve">de </w:t>
            </w:r>
            <w:r>
              <w:rPr>
                <w:rFonts w:ascii="Arial" w:hAnsi="Arial" w:cs="Arial"/>
                <w:b/>
              </w:rPr>
              <w:t>l’effondrement</w:t>
            </w:r>
            <w:r w:rsidR="00B32E6A">
              <w:rPr>
                <w:rFonts w:ascii="Arial" w:hAnsi="Arial" w:cs="Arial"/>
                <w:b/>
              </w:rPr>
              <w:t xml:space="preserve"> des ouvertures de chantier</w:t>
            </w:r>
            <w:r>
              <w:rPr>
                <w:rFonts w:ascii="Arial" w:hAnsi="Arial" w:cs="Arial"/>
                <w:b/>
              </w:rPr>
              <w:t> : avec</w:t>
            </w:r>
            <w:r w:rsidR="00B32E6A">
              <w:rPr>
                <w:rFonts w:ascii="Arial" w:hAnsi="Arial" w:cs="Arial"/>
                <w:b/>
              </w:rPr>
              <w:t xml:space="preserve"> </w:t>
            </w:r>
            <w:r>
              <w:rPr>
                <w:rFonts w:ascii="Arial" w:hAnsi="Arial" w:cs="Arial"/>
                <w:b/>
              </w:rPr>
              <w:t>-</w:t>
            </w:r>
            <w:r w:rsidR="00B32E6A">
              <w:rPr>
                <w:rFonts w:ascii="Arial" w:hAnsi="Arial" w:cs="Arial"/>
                <w:b/>
              </w:rPr>
              <w:t>15,9 %</w:t>
            </w:r>
            <w:r>
              <w:rPr>
                <w:rFonts w:ascii="Arial" w:hAnsi="Arial" w:cs="Arial"/>
                <w:b/>
              </w:rPr>
              <w:t>, elles</w:t>
            </w:r>
            <w:r w:rsidR="00B32E6A">
              <w:rPr>
                <w:rFonts w:ascii="Arial" w:hAnsi="Arial" w:cs="Arial"/>
                <w:b/>
              </w:rPr>
              <w:t xml:space="preserve"> </w:t>
            </w:r>
            <w:r>
              <w:rPr>
                <w:rFonts w:ascii="Arial" w:hAnsi="Arial" w:cs="Arial"/>
                <w:b/>
              </w:rPr>
              <w:t xml:space="preserve">tomberont </w:t>
            </w:r>
            <w:r w:rsidR="00B32E6A">
              <w:rPr>
                <w:rFonts w:ascii="Arial" w:hAnsi="Arial" w:cs="Arial"/>
                <w:b/>
              </w:rPr>
              <w:t>à un plancher historique de 241 000 unités. Quant aux permis, ils reculer</w:t>
            </w:r>
            <w:r>
              <w:rPr>
                <w:rFonts w:ascii="Arial" w:hAnsi="Arial" w:cs="Arial"/>
                <w:b/>
              </w:rPr>
              <w:t>o</w:t>
            </w:r>
            <w:r w:rsidR="00B32E6A">
              <w:rPr>
                <w:rFonts w:ascii="Arial" w:hAnsi="Arial" w:cs="Arial"/>
                <w:b/>
              </w:rPr>
              <w:t xml:space="preserve">nt encore de 12,1 %, </w:t>
            </w:r>
            <w:r w:rsidR="003A4609">
              <w:rPr>
                <w:rFonts w:ascii="Arial" w:hAnsi="Arial" w:cs="Arial"/>
                <w:b/>
              </w:rPr>
              <w:t xml:space="preserve">en </w:t>
            </w:r>
            <w:r>
              <w:rPr>
                <w:rFonts w:ascii="Arial" w:hAnsi="Arial" w:cs="Arial"/>
                <w:b/>
              </w:rPr>
              <w:t>lien avec</w:t>
            </w:r>
            <w:r w:rsidR="003A4609">
              <w:rPr>
                <w:rFonts w:ascii="Arial" w:hAnsi="Arial" w:cs="Arial"/>
                <w:b/>
              </w:rPr>
              <w:t xml:space="preserve"> l’effondrement des ventes</w:t>
            </w:r>
            <w:r w:rsidR="00B32E6A">
              <w:rPr>
                <w:rFonts w:ascii="Arial" w:hAnsi="Arial" w:cs="Arial"/>
                <w:b/>
              </w:rPr>
              <w:t>.</w:t>
            </w:r>
            <w:r w:rsidR="008E49C8">
              <w:rPr>
                <w:rFonts w:ascii="Arial" w:hAnsi="Arial" w:cs="Arial"/>
                <w:b/>
              </w:rPr>
              <w:t xml:space="preserve"> S’agissant du non résidentiel neuf, il </w:t>
            </w:r>
            <w:r w:rsidR="000928AB">
              <w:rPr>
                <w:rFonts w:ascii="Arial" w:hAnsi="Arial" w:cs="Arial"/>
                <w:b/>
              </w:rPr>
              <w:t>reculera</w:t>
            </w:r>
            <w:r w:rsidR="008E49C8">
              <w:rPr>
                <w:rFonts w:ascii="Arial" w:hAnsi="Arial" w:cs="Arial"/>
                <w:b/>
              </w:rPr>
              <w:t xml:space="preserve"> de 6,0 %, </w:t>
            </w:r>
            <w:r w:rsidR="000928AB">
              <w:rPr>
                <w:rFonts w:ascii="Arial" w:hAnsi="Arial" w:cs="Arial"/>
                <w:b/>
              </w:rPr>
              <w:t>alors que l</w:t>
            </w:r>
            <w:r w:rsidR="008E49C8">
              <w:rPr>
                <w:rFonts w:ascii="Arial" w:hAnsi="Arial" w:cs="Arial"/>
                <w:b/>
              </w:rPr>
              <w:t>es surfaces commencées et autorisées s</w:t>
            </w:r>
            <w:r w:rsidR="000928AB">
              <w:rPr>
                <w:rFonts w:ascii="Arial" w:hAnsi="Arial" w:cs="Arial"/>
                <w:b/>
              </w:rPr>
              <w:t>’y</w:t>
            </w:r>
            <w:r w:rsidR="008E49C8">
              <w:rPr>
                <w:rFonts w:ascii="Arial" w:hAnsi="Arial" w:cs="Arial"/>
                <w:b/>
              </w:rPr>
              <w:t xml:space="preserve"> lir</w:t>
            </w:r>
            <w:r w:rsidR="000928AB">
              <w:rPr>
                <w:rFonts w:ascii="Arial" w:hAnsi="Arial" w:cs="Arial"/>
                <w:b/>
              </w:rPr>
              <w:t>o</w:t>
            </w:r>
            <w:r w:rsidR="008E49C8">
              <w:rPr>
                <w:rFonts w:ascii="Arial" w:hAnsi="Arial" w:cs="Arial"/>
                <w:b/>
              </w:rPr>
              <w:t xml:space="preserve">nt respectivement </w:t>
            </w:r>
            <w:r w:rsidR="000928AB">
              <w:rPr>
                <w:rFonts w:ascii="Arial" w:hAnsi="Arial" w:cs="Arial"/>
                <w:b/>
              </w:rPr>
              <w:t xml:space="preserve">à </w:t>
            </w:r>
            <w:r w:rsidR="000928AB">
              <w:rPr>
                <w:rFonts w:ascii="Arial" w:hAnsi="Arial" w:cs="Arial"/>
                <w:b/>
              </w:rPr>
              <w:noBreakHyphen/>
            </w:r>
            <w:r w:rsidR="008E49C8">
              <w:rPr>
                <w:rFonts w:ascii="Arial" w:hAnsi="Arial" w:cs="Arial"/>
                <w:b/>
              </w:rPr>
              <w:t xml:space="preserve">1,1 % et +1,6 %. </w:t>
            </w:r>
            <w:r w:rsidR="000928AB">
              <w:rPr>
                <w:rFonts w:ascii="Arial" w:hAnsi="Arial" w:cs="Arial"/>
                <w:b/>
              </w:rPr>
              <w:t>Il faut toutefois signaler que, p</w:t>
            </w:r>
            <w:r w:rsidR="008E49C8">
              <w:rPr>
                <w:rFonts w:ascii="Arial" w:hAnsi="Arial" w:cs="Arial"/>
                <w:b/>
              </w:rPr>
              <w:t xml:space="preserve">our ces dernières, </w:t>
            </w:r>
            <w:r w:rsidR="00480652">
              <w:rPr>
                <w:rFonts w:ascii="Arial" w:hAnsi="Arial" w:cs="Arial"/>
                <w:b/>
              </w:rPr>
              <w:t>l</w:t>
            </w:r>
            <w:r w:rsidR="000928AB">
              <w:rPr>
                <w:rFonts w:ascii="Arial" w:hAnsi="Arial" w:cs="Arial"/>
                <w:b/>
              </w:rPr>
              <w:t>es bâtiments administratifs, ainsi que</w:t>
            </w:r>
            <w:r w:rsidR="00480652">
              <w:rPr>
                <w:rFonts w:ascii="Arial" w:hAnsi="Arial" w:cs="Arial"/>
                <w:b/>
              </w:rPr>
              <w:t xml:space="preserve"> les bâtiments industriels et assimilés</w:t>
            </w:r>
            <w:r w:rsidR="000928AB">
              <w:rPr>
                <w:rFonts w:ascii="Arial" w:hAnsi="Arial" w:cs="Arial"/>
                <w:b/>
              </w:rPr>
              <w:t xml:space="preserve"> s’afficheront en hausse</w:t>
            </w:r>
            <w:r w:rsidR="00480652">
              <w:rPr>
                <w:rFonts w:ascii="Arial" w:hAnsi="Arial" w:cs="Arial"/>
                <w:b/>
              </w:rPr>
              <w:t>.</w:t>
            </w:r>
            <w:r w:rsidR="00050FCC">
              <w:rPr>
                <w:rFonts w:ascii="Arial" w:hAnsi="Arial" w:cs="Arial"/>
                <w:b/>
              </w:rPr>
              <w:t xml:space="preserve"> Enfin, l’amélioration-entretien </w:t>
            </w:r>
            <w:r w:rsidR="00BA158D">
              <w:rPr>
                <w:rFonts w:ascii="Arial" w:hAnsi="Arial" w:cs="Arial"/>
                <w:b/>
              </w:rPr>
              <w:t xml:space="preserve">ralentirait, à +1,6 %, </w:t>
            </w:r>
            <w:r w:rsidR="00DB5083">
              <w:rPr>
                <w:rFonts w:ascii="Arial" w:hAnsi="Arial" w:cs="Arial"/>
                <w:b/>
              </w:rPr>
              <w:t>eu égard</w:t>
            </w:r>
            <w:r w:rsidR="00BA158D">
              <w:rPr>
                <w:rFonts w:ascii="Arial" w:hAnsi="Arial" w:cs="Arial"/>
                <w:b/>
              </w:rPr>
              <w:t xml:space="preserve"> </w:t>
            </w:r>
            <w:r w:rsidR="00DB5083">
              <w:rPr>
                <w:rFonts w:ascii="Arial" w:hAnsi="Arial" w:cs="Arial"/>
                <w:b/>
              </w:rPr>
              <w:t>à</w:t>
            </w:r>
            <w:r w:rsidR="00BA158D">
              <w:rPr>
                <w:rFonts w:ascii="Arial" w:hAnsi="Arial" w:cs="Arial"/>
                <w:b/>
              </w:rPr>
              <w:t xml:space="preserve"> la réforme de </w:t>
            </w:r>
            <w:proofErr w:type="spellStart"/>
            <w:r w:rsidR="00BA158D">
              <w:rPr>
                <w:rFonts w:ascii="Arial" w:hAnsi="Arial" w:cs="Arial"/>
                <w:b/>
              </w:rPr>
              <w:t>MaPrimeRénov</w:t>
            </w:r>
            <w:proofErr w:type="spellEnd"/>
            <w:r w:rsidR="00BA158D">
              <w:rPr>
                <w:rFonts w:ascii="Arial" w:hAnsi="Arial" w:cs="Arial"/>
                <w:b/>
              </w:rPr>
              <w:t xml:space="preserve">’ </w:t>
            </w:r>
            <w:r w:rsidR="000928AB">
              <w:rPr>
                <w:rFonts w:ascii="Arial" w:hAnsi="Arial" w:cs="Arial"/>
                <w:b/>
              </w:rPr>
              <w:t>déjà évoquée</w:t>
            </w:r>
            <w:r w:rsidR="00FC7109">
              <w:rPr>
                <w:rFonts w:ascii="Arial" w:hAnsi="Arial" w:cs="Arial"/>
                <w:b/>
              </w:rPr>
              <w:t xml:space="preserve"> </w:t>
            </w:r>
            <w:r w:rsidR="00436E3C">
              <w:rPr>
                <w:rFonts w:ascii="Arial" w:hAnsi="Arial" w:cs="Arial"/>
                <w:b/>
              </w:rPr>
              <w:t>(</w:t>
            </w:r>
            <w:r w:rsidR="004166BD">
              <w:rPr>
                <w:rFonts w:ascii="Arial" w:hAnsi="Arial" w:cs="Arial"/>
                <w:b/>
              </w:rPr>
              <w:t>et sous</w:t>
            </w:r>
            <w:r w:rsidR="00FC7109">
              <w:rPr>
                <w:rFonts w:ascii="Arial" w:hAnsi="Arial" w:cs="Arial"/>
                <w:b/>
              </w:rPr>
              <w:t xml:space="preserve"> l’hypothèse d’un décrochage contenu</w:t>
            </w:r>
            <w:r w:rsidR="00436E3C">
              <w:rPr>
                <w:rFonts w:ascii="Arial" w:hAnsi="Arial" w:cs="Arial"/>
                <w:b/>
              </w:rPr>
              <w:t>)</w:t>
            </w:r>
            <w:r w:rsidR="000928AB">
              <w:rPr>
                <w:rFonts w:ascii="Arial" w:hAnsi="Arial" w:cs="Arial"/>
                <w:b/>
              </w:rPr>
              <w:t xml:space="preserve">, mais aussi à la chute de 20 % </w:t>
            </w:r>
            <w:r w:rsidR="00BA158D">
              <w:rPr>
                <w:rFonts w:ascii="Arial" w:hAnsi="Arial" w:cs="Arial"/>
                <w:b/>
              </w:rPr>
              <w:t>des transactions de logements anciens</w:t>
            </w:r>
            <w:r w:rsidR="00DB292C">
              <w:rPr>
                <w:rFonts w:ascii="Arial" w:hAnsi="Arial" w:cs="Arial"/>
                <w:b/>
              </w:rPr>
              <w:t xml:space="preserve"> en 2023</w:t>
            </w:r>
            <w:r w:rsidR="00BA158D">
              <w:rPr>
                <w:rFonts w:ascii="Arial" w:hAnsi="Arial" w:cs="Arial"/>
                <w:b/>
              </w:rPr>
              <w:t>.</w:t>
            </w:r>
            <w:r w:rsidR="00A95670">
              <w:rPr>
                <w:rFonts w:ascii="Arial" w:hAnsi="Arial" w:cs="Arial"/>
                <w:b/>
              </w:rPr>
              <w:t xml:space="preserve"> En conséquence </w:t>
            </w:r>
            <w:r w:rsidR="00DB5083">
              <w:rPr>
                <w:rFonts w:ascii="Arial" w:hAnsi="Arial" w:cs="Arial"/>
                <w:b/>
              </w:rPr>
              <w:t>d</w:t>
            </w:r>
            <w:r w:rsidR="000928AB">
              <w:rPr>
                <w:rFonts w:ascii="Arial" w:hAnsi="Arial" w:cs="Arial"/>
                <w:b/>
              </w:rPr>
              <w:t>u recul</w:t>
            </w:r>
            <w:r w:rsidR="00DB5083">
              <w:rPr>
                <w:rFonts w:ascii="Arial" w:hAnsi="Arial" w:cs="Arial"/>
                <w:b/>
              </w:rPr>
              <w:t xml:space="preserve"> </w:t>
            </w:r>
            <w:r w:rsidR="000928AB">
              <w:rPr>
                <w:rFonts w:ascii="Arial" w:hAnsi="Arial" w:cs="Arial"/>
                <w:b/>
              </w:rPr>
              <w:t xml:space="preserve">global </w:t>
            </w:r>
            <w:r w:rsidR="00DB5083">
              <w:rPr>
                <w:rFonts w:ascii="Arial" w:hAnsi="Arial" w:cs="Arial"/>
                <w:b/>
              </w:rPr>
              <w:t>d</w:t>
            </w:r>
            <w:r w:rsidR="00A95670">
              <w:rPr>
                <w:rFonts w:ascii="Arial" w:hAnsi="Arial" w:cs="Arial"/>
                <w:b/>
              </w:rPr>
              <w:t xml:space="preserve">’activité, </w:t>
            </w:r>
            <w:r w:rsidR="000928AB">
              <w:rPr>
                <w:rFonts w:ascii="Arial" w:hAnsi="Arial" w:cs="Arial"/>
                <w:b/>
              </w:rPr>
              <w:t>le bâtiment perdra</w:t>
            </w:r>
            <w:r w:rsidR="002A390F">
              <w:rPr>
                <w:rFonts w:ascii="Arial" w:hAnsi="Arial" w:cs="Arial"/>
                <w:b/>
              </w:rPr>
              <w:t xml:space="preserve"> </w:t>
            </w:r>
            <w:r w:rsidR="00A95670">
              <w:rPr>
                <w:rFonts w:ascii="Arial" w:hAnsi="Arial" w:cs="Arial"/>
                <w:b/>
              </w:rPr>
              <w:t xml:space="preserve">90 000 emplois (salariés et intérimaires ETP) </w:t>
            </w:r>
            <w:r w:rsidR="00DB292C">
              <w:rPr>
                <w:rFonts w:ascii="Arial" w:hAnsi="Arial" w:cs="Arial"/>
                <w:b/>
              </w:rPr>
              <w:t>dès 2024</w:t>
            </w:r>
            <w:r w:rsidR="00A95670">
              <w:rPr>
                <w:rFonts w:ascii="Arial" w:hAnsi="Arial" w:cs="Arial"/>
                <w:b/>
              </w:rPr>
              <w:t>.</w:t>
            </w:r>
          </w:p>
        </w:tc>
      </w:tr>
    </w:tbl>
    <w:p w14:paraId="4DE538B5" w14:textId="7B05C395" w:rsidR="00BD53DD" w:rsidRPr="006B1FA8" w:rsidRDefault="00AD1BA8" w:rsidP="00BD53DD">
      <w:pPr>
        <w:spacing w:after="240" w:line="360" w:lineRule="auto"/>
        <w:rPr>
          <w:rFonts w:ascii="Arial" w:hAnsi="Arial" w:cs="Arial"/>
          <w:b/>
          <w:color w:val="000000" w:themeColor="text1"/>
          <w:sz w:val="28"/>
          <w:szCs w:val="28"/>
          <w:u w:val="single"/>
        </w:rPr>
      </w:pPr>
      <w:r>
        <w:rPr>
          <w:rFonts w:ascii="Arial" w:hAnsi="Arial" w:cs="Arial"/>
          <w:b/>
          <w:sz w:val="28"/>
          <w:szCs w:val="28"/>
          <w:u w:val="single"/>
        </w:rPr>
        <w:br w:type="page"/>
      </w:r>
      <w:r w:rsidR="00BD53DD" w:rsidRPr="006B1FA8">
        <w:rPr>
          <w:rFonts w:ascii="Arial" w:hAnsi="Arial" w:cs="Arial"/>
          <w:b/>
          <w:color w:val="000000" w:themeColor="text1"/>
          <w:sz w:val="28"/>
          <w:szCs w:val="28"/>
          <w:u w:val="single"/>
        </w:rPr>
        <w:lastRenderedPageBreak/>
        <w:t>1.Bilan 202</w:t>
      </w:r>
      <w:r w:rsidR="007E22F4">
        <w:rPr>
          <w:rFonts w:ascii="Arial" w:hAnsi="Arial" w:cs="Arial"/>
          <w:b/>
          <w:color w:val="000000" w:themeColor="text1"/>
          <w:sz w:val="28"/>
          <w:szCs w:val="28"/>
          <w:u w:val="single"/>
        </w:rPr>
        <w:t>3</w:t>
      </w:r>
    </w:p>
    <w:p w14:paraId="6DBD5BC8" w14:textId="77777777" w:rsidR="00BD53DD" w:rsidRPr="006B1FA8" w:rsidRDefault="00BD53DD" w:rsidP="00BD53DD">
      <w:pPr>
        <w:spacing w:after="120" w:line="360" w:lineRule="auto"/>
        <w:ind w:left="425" w:hanging="425"/>
        <w:jc w:val="both"/>
        <w:rPr>
          <w:rFonts w:ascii="Arial" w:hAnsi="Arial" w:cs="Arial"/>
          <w:color w:val="000000" w:themeColor="text1"/>
          <w:u w:val="single"/>
        </w:rPr>
      </w:pPr>
      <w:r w:rsidRPr="006B1FA8">
        <w:rPr>
          <w:rFonts w:ascii="Arial" w:hAnsi="Arial" w:cs="Arial"/>
          <w:color w:val="000000" w:themeColor="text1"/>
          <w:u w:val="single"/>
        </w:rPr>
        <w:t>1.1</w:t>
      </w:r>
      <w:r w:rsidRPr="006B1FA8">
        <w:rPr>
          <w:rFonts w:ascii="Arial" w:hAnsi="Arial" w:cs="Arial"/>
          <w:color w:val="000000" w:themeColor="text1"/>
          <w:u w:val="single"/>
        </w:rPr>
        <w:tab/>
        <w:t xml:space="preserve">Le contexte </w:t>
      </w:r>
    </w:p>
    <w:p w14:paraId="3C263B77" w14:textId="3BA4B9AC" w:rsidR="007E22F4" w:rsidRDefault="007E22F4" w:rsidP="007E22F4">
      <w:pPr>
        <w:spacing w:after="120" w:line="360" w:lineRule="auto"/>
        <w:jc w:val="both"/>
        <w:rPr>
          <w:rFonts w:ascii="Arial" w:hAnsi="Arial" w:cs="Arial"/>
          <w:color w:val="000000" w:themeColor="text1"/>
        </w:rPr>
      </w:pPr>
      <w:r w:rsidRPr="006B1FA8">
        <w:rPr>
          <w:rFonts w:ascii="Arial" w:hAnsi="Arial" w:cs="Arial"/>
          <w:color w:val="000000" w:themeColor="text1"/>
        </w:rPr>
        <w:t>En 202</w:t>
      </w:r>
      <w:r>
        <w:rPr>
          <w:rFonts w:ascii="Arial" w:hAnsi="Arial" w:cs="Arial"/>
          <w:color w:val="000000" w:themeColor="text1"/>
        </w:rPr>
        <w:t>3</w:t>
      </w:r>
      <w:r w:rsidRPr="006B1FA8">
        <w:rPr>
          <w:rFonts w:ascii="Arial" w:hAnsi="Arial" w:cs="Arial"/>
          <w:color w:val="000000" w:themeColor="text1"/>
        </w:rPr>
        <w:t xml:space="preserve">, la croissance économique </w:t>
      </w:r>
      <w:r>
        <w:rPr>
          <w:rFonts w:ascii="Arial" w:hAnsi="Arial" w:cs="Arial"/>
          <w:color w:val="000000" w:themeColor="text1"/>
        </w:rPr>
        <w:t>française décélère mais s’affiche à un meilleur niveau qu’attendu</w:t>
      </w:r>
      <w:r w:rsidRPr="006B1FA8">
        <w:rPr>
          <w:rFonts w:ascii="Arial" w:hAnsi="Arial" w:cs="Arial"/>
          <w:color w:val="000000" w:themeColor="text1"/>
        </w:rPr>
        <w:t>, à +</w:t>
      </w:r>
      <w:r>
        <w:rPr>
          <w:rFonts w:ascii="Arial" w:hAnsi="Arial" w:cs="Arial"/>
          <w:color w:val="000000" w:themeColor="text1"/>
        </w:rPr>
        <w:t xml:space="preserve">0,8 % en volume (cf. graphique 1). Elle est portée principalement par </w:t>
      </w:r>
      <w:r w:rsidR="00534D25">
        <w:rPr>
          <w:rFonts w:ascii="Arial" w:hAnsi="Arial" w:cs="Arial"/>
          <w:color w:val="000000" w:themeColor="text1"/>
        </w:rPr>
        <w:t xml:space="preserve">un </w:t>
      </w:r>
      <w:r w:rsidR="00534D25" w:rsidRPr="00534D25">
        <w:rPr>
          <w:rFonts w:ascii="Arial" w:hAnsi="Arial" w:cs="Arial"/>
          <w:color w:val="000000" w:themeColor="text1"/>
        </w:rPr>
        <w:t>solde du commerce extérieur</w:t>
      </w:r>
      <w:r w:rsidR="00534D25">
        <w:rPr>
          <w:rFonts w:ascii="Arial" w:hAnsi="Arial" w:cs="Arial"/>
          <w:color w:val="000000" w:themeColor="text1"/>
        </w:rPr>
        <w:t xml:space="preserve"> bien orienté</w:t>
      </w:r>
      <w:r w:rsidR="00534D25" w:rsidRPr="00534D25">
        <w:rPr>
          <w:rFonts w:ascii="Arial" w:hAnsi="Arial" w:cs="Arial"/>
          <w:color w:val="000000" w:themeColor="text1"/>
        </w:rPr>
        <w:t xml:space="preserve">, avec des exportations 4,5 fois plus </w:t>
      </w:r>
      <w:r w:rsidR="00534D25">
        <w:rPr>
          <w:rFonts w:ascii="Arial" w:hAnsi="Arial" w:cs="Arial"/>
          <w:color w:val="000000" w:themeColor="text1"/>
        </w:rPr>
        <w:t xml:space="preserve">dynamiques </w:t>
      </w:r>
      <w:r w:rsidR="00534D25" w:rsidRPr="00534D25">
        <w:rPr>
          <w:rFonts w:ascii="Arial" w:hAnsi="Arial" w:cs="Arial"/>
          <w:color w:val="000000" w:themeColor="text1"/>
        </w:rPr>
        <w:t>que les importations (+1,8</w:t>
      </w:r>
      <w:r w:rsidR="00534D25">
        <w:rPr>
          <w:rFonts w:ascii="Arial" w:hAnsi="Arial" w:cs="Arial"/>
          <w:color w:val="000000" w:themeColor="text1"/>
        </w:rPr>
        <w:t> </w:t>
      </w:r>
      <w:r w:rsidR="00534D25" w:rsidRPr="00534D25">
        <w:rPr>
          <w:rFonts w:ascii="Arial" w:hAnsi="Arial" w:cs="Arial"/>
          <w:color w:val="000000" w:themeColor="text1"/>
        </w:rPr>
        <w:t xml:space="preserve">% </w:t>
      </w:r>
      <w:r w:rsidR="00534D25" w:rsidRPr="00232018">
        <w:rPr>
          <w:rFonts w:ascii="Arial" w:hAnsi="Arial" w:cs="Arial"/>
          <w:i/>
          <w:iCs/>
          <w:color w:val="000000" w:themeColor="text1"/>
        </w:rPr>
        <w:t>versus</w:t>
      </w:r>
      <w:r w:rsidR="00534D25" w:rsidRPr="00534D25">
        <w:rPr>
          <w:rFonts w:ascii="Arial" w:hAnsi="Arial" w:cs="Arial"/>
          <w:color w:val="000000" w:themeColor="text1"/>
        </w:rPr>
        <w:t xml:space="preserve"> +0,4</w:t>
      </w:r>
      <w:r w:rsidR="00534D25">
        <w:rPr>
          <w:rFonts w:ascii="Arial" w:hAnsi="Arial" w:cs="Arial"/>
          <w:color w:val="000000" w:themeColor="text1"/>
        </w:rPr>
        <w:t> </w:t>
      </w:r>
      <w:r w:rsidR="00534D25" w:rsidRPr="00534D25">
        <w:rPr>
          <w:rFonts w:ascii="Arial" w:hAnsi="Arial" w:cs="Arial"/>
          <w:color w:val="000000" w:themeColor="text1"/>
        </w:rPr>
        <w:t xml:space="preserve">%), </w:t>
      </w:r>
      <w:r w:rsidR="00534D25">
        <w:rPr>
          <w:rFonts w:ascii="Arial" w:hAnsi="Arial" w:cs="Arial"/>
          <w:color w:val="000000" w:themeColor="text1"/>
        </w:rPr>
        <w:t xml:space="preserve">mais </w:t>
      </w:r>
      <w:r w:rsidR="00705150">
        <w:rPr>
          <w:rFonts w:ascii="Arial" w:hAnsi="Arial" w:cs="Arial"/>
          <w:color w:val="000000" w:themeColor="text1"/>
        </w:rPr>
        <w:t>surtout</w:t>
      </w:r>
      <w:r w:rsidR="00534D25">
        <w:rPr>
          <w:rFonts w:ascii="Arial" w:hAnsi="Arial" w:cs="Arial"/>
          <w:color w:val="000000" w:themeColor="text1"/>
        </w:rPr>
        <w:t xml:space="preserve"> par </w:t>
      </w:r>
      <w:r>
        <w:rPr>
          <w:rFonts w:ascii="Arial" w:hAnsi="Arial" w:cs="Arial"/>
          <w:color w:val="000000" w:themeColor="text1"/>
        </w:rPr>
        <w:t>un</w:t>
      </w:r>
      <w:r w:rsidR="00534D25">
        <w:rPr>
          <w:rFonts w:ascii="Arial" w:hAnsi="Arial" w:cs="Arial"/>
          <w:color w:val="000000" w:themeColor="text1"/>
        </w:rPr>
        <w:t>e progression soutenue de l’</w:t>
      </w:r>
      <w:r>
        <w:rPr>
          <w:rFonts w:ascii="Arial" w:hAnsi="Arial" w:cs="Arial"/>
          <w:color w:val="000000" w:themeColor="text1"/>
        </w:rPr>
        <w:t xml:space="preserve">investissement </w:t>
      </w:r>
      <w:r w:rsidR="0028527C">
        <w:rPr>
          <w:rFonts w:ascii="Arial" w:hAnsi="Arial" w:cs="Arial"/>
          <w:color w:val="000000" w:themeColor="text1"/>
        </w:rPr>
        <w:t>des entreprises et du secteur public (</w:t>
      </w:r>
      <w:r w:rsidR="0028527C" w:rsidRPr="0028527C">
        <w:rPr>
          <w:rFonts w:ascii="Arial" w:hAnsi="Arial" w:cs="Arial"/>
          <w:color w:val="000000" w:themeColor="text1"/>
        </w:rPr>
        <w:t>+3,2</w:t>
      </w:r>
      <w:r w:rsidR="0028527C">
        <w:rPr>
          <w:rFonts w:ascii="Arial" w:hAnsi="Arial" w:cs="Arial"/>
          <w:color w:val="000000" w:themeColor="text1"/>
        </w:rPr>
        <w:t> </w:t>
      </w:r>
      <w:r w:rsidR="0028527C" w:rsidRPr="0028527C">
        <w:rPr>
          <w:rFonts w:ascii="Arial" w:hAnsi="Arial" w:cs="Arial"/>
          <w:color w:val="000000" w:themeColor="text1"/>
        </w:rPr>
        <w:t>% et +2,4</w:t>
      </w:r>
      <w:r w:rsidR="0028527C">
        <w:rPr>
          <w:rFonts w:ascii="Arial" w:hAnsi="Arial" w:cs="Arial"/>
          <w:color w:val="000000" w:themeColor="text1"/>
        </w:rPr>
        <w:t> </w:t>
      </w:r>
      <w:r w:rsidR="0028527C" w:rsidRPr="0028527C">
        <w:rPr>
          <w:rFonts w:ascii="Arial" w:hAnsi="Arial" w:cs="Arial"/>
          <w:color w:val="000000" w:themeColor="text1"/>
        </w:rPr>
        <w:t>%</w:t>
      </w:r>
      <w:r w:rsidR="0028527C">
        <w:rPr>
          <w:rFonts w:ascii="Arial" w:hAnsi="Arial" w:cs="Arial"/>
          <w:color w:val="000000" w:themeColor="text1"/>
        </w:rPr>
        <w:t>)</w:t>
      </w:r>
      <w:r>
        <w:rPr>
          <w:rFonts w:ascii="Arial" w:hAnsi="Arial" w:cs="Arial"/>
          <w:color w:val="000000" w:themeColor="text1"/>
        </w:rPr>
        <w:t>.</w:t>
      </w:r>
    </w:p>
    <w:p w14:paraId="21C4056C" w14:textId="77777777" w:rsidR="007E22F4" w:rsidRDefault="007E22F4" w:rsidP="007E22F4">
      <w:pPr>
        <w:spacing w:after="0" w:line="360" w:lineRule="auto"/>
        <w:jc w:val="center"/>
        <w:rPr>
          <w:rFonts w:ascii="Arial" w:hAnsi="Arial" w:cs="Arial"/>
          <w:b/>
          <w:color w:val="000000" w:themeColor="text1"/>
        </w:rPr>
      </w:pPr>
      <w:r w:rsidRPr="00F50280">
        <w:rPr>
          <w:rFonts w:ascii="Arial" w:hAnsi="Arial" w:cs="Arial"/>
          <w:color w:val="000000" w:themeColor="text1"/>
        </w:rPr>
        <w:t xml:space="preserve">Graphique 1 – </w:t>
      </w:r>
      <w:r w:rsidRPr="00F50280">
        <w:rPr>
          <w:rFonts w:ascii="Arial" w:hAnsi="Arial" w:cs="Arial"/>
          <w:b/>
          <w:color w:val="000000" w:themeColor="text1"/>
        </w:rPr>
        <w:t>Le PIB et ses composantes</w:t>
      </w:r>
    </w:p>
    <w:p w14:paraId="7810B4C2" w14:textId="3973D7F2" w:rsidR="007E22F4" w:rsidRPr="006B1FA8" w:rsidRDefault="007E22F4" w:rsidP="007E22F4">
      <w:pPr>
        <w:spacing w:after="120" w:line="360" w:lineRule="auto"/>
        <w:jc w:val="center"/>
        <w:rPr>
          <w:rFonts w:ascii="Arial" w:hAnsi="Arial" w:cs="Arial"/>
          <w:color w:val="000000" w:themeColor="text1"/>
        </w:rPr>
      </w:pPr>
      <w:r w:rsidRPr="0060711C">
        <w:rPr>
          <w:rFonts w:ascii="Arial" w:hAnsi="Arial" w:cs="Arial"/>
          <w:noProof/>
          <w:color w:val="000000" w:themeColor="text1"/>
        </w:rPr>
        <w:drawing>
          <wp:inline distT="0" distB="0" distL="0" distR="0" wp14:anchorId="575F5886" wp14:editId="7FD3ED2F">
            <wp:extent cx="5760720" cy="3054985"/>
            <wp:effectExtent l="0" t="0" r="0" b="0"/>
            <wp:docPr id="17178777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054985"/>
                    </a:xfrm>
                    <a:prstGeom prst="rect">
                      <a:avLst/>
                    </a:prstGeom>
                    <a:noFill/>
                    <a:ln>
                      <a:noFill/>
                    </a:ln>
                  </pic:spPr>
                </pic:pic>
              </a:graphicData>
            </a:graphic>
          </wp:inline>
        </w:drawing>
      </w:r>
      <w:r w:rsidRPr="00F50280">
        <w:rPr>
          <w:rFonts w:ascii="Arial" w:hAnsi="Arial" w:cs="Arial"/>
          <w:i/>
          <w:color w:val="000000" w:themeColor="text1"/>
          <w:sz w:val="20"/>
        </w:rPr>
        <w:t>Source</w:t>
      </w:r>
      <w:r w:rsidR="0028527C">
        <w:rPr>
          <w:rFonts w:ascii="Arial" w:hAnsi="Arial" w:cs="Arial"/>
          <w:i/>
          <w:color w:val="000000" w:themeColor="text1"/>
          <w:sz w:val="20"/>
        </w:rPr>
        <w:t> </w:t>
      </w:r>
      <w:r w:rsidRPr="00F50280">
        <w:rPr>
          <w:rFonts w:ascii="Arial" w:hAnsi="Arial" w:cs="Arial"/>
          <w:i/>
          <w:color w:val="000000" w:themeColor="text1"/>
          <w:sz w:val="20"/>
        </w:rPr>
        <w:t xml:space="preserve">: </w:t>
      </w:r>
      <w:r>
        <w:rPr>
          <w:rFonts w:ascii="Arial" w:hAnsi="Arial" w:cs="Arial"/>
          <w:i/>
          <w:color w:val="000000" w:themeColor="text1"/>
          <w:sz w:val="20"/>
        </w:rPr>
        <w:t xml:space="preserve">calculs </w:t>
      </w:r>
      <w:r w:rsidRPr="00F50280">
        <w:rPr>
          <w:rFonts w:ascii="Arial" w:hAnsi="Arial" w:cs="Arial"/>
          <w:i/>
          <w:color w:val="000000" w:themeColor="text1"/>
          <w:sz w:val="20"/>
        </w:rPr>
        <w:t xml:space="preserve">FFB </w:t>
      </w:r>
      <w:r>
        <w:rPr>
          <w:rFonts w:ascii="Arial" w:hAnsi="Arial" w:cs="Arial"/>
          <w:i/>
          <w:color w:val="000000" w:themeColor="text1"/>
          <w:sz w:val="20"/>
        </w:rPr>
        <w:t xml:space="preserve">d’après </w:t>
      </w:r>
      <w:r w:rsidRPr="00F50280">
        <w:rPr>
          <w:rFonts w:ascii="Arial" w:hAnsi="Arial" w:cs="Arial"/>
          <w:i/>
          <w:color w:val="000000" w:themeColor="text1"/>
          <w:sz w:val="20"/>
        </w:rPr>
        <w:t>Insee</w:t>
      </w:r>
    </w:p>
    <w:p w14:paraId="33F35CFB" w14:textId="046195C5" w:rsidR="007E22F4" w:rsidRDefault="0028527C" w:rsidP="007E22F4">
      <w:pPr>
        <w:spacing w:after="120" w:line="360" w:lineRule="auto"/>
        <w:jc w:val="both"/>
        <w:rPr>
          <w:rFonts w:ascii="Arial" w:hAnsi="Arial" w:cs="Arial"/>
          <w:color w:val="000000" w:themeColor="text1"/>
        </w:rPr>
      </w:pPr>
      <w:r>
        <w:rPr>
          <w:rFonts w:ascii="Arial" w:hAnsi="Arial" w:cs="Arial"/>
          <w:color w:val="000000" w:themeColor="text1"/>
        </w:rPr>
        <w:t>L</w:t>
      </w:r>
      <w:r w:rsidR="007E22F4" w:rsidRPr="006B1FA8">
        <w:rPr>
          <w:rFonts w:ascii="Arial" w:hAnsi="Arial" w:cs="Arial"/>
          <w:color w:val="000000" w:themeColor="text1"/>
        </w:rPr>
        <w:t xml:space="preserve">’investissement total </w:t>
      </w:r>
      <w:r w:rsidR="007E22F4">
        <w:rPr>
          <w:rFonts w:ascii="Arial" w:hAnsi="Arial" w:cs="Arial"/>
          <w:color w:val="000000" w:themeColor="text1"/>
        </w:rPr>
        <w:t>ralentit</w:t>
      </w:r>
      <w:r>
        <w:rPr>
          <w:rFonts w:ascii="Arial" w:hAnsi="Arial" w:cs="Arial"/>
          <w:color w:val="000000" w:themeColor="text1"/>
        </w:rPr>
        <w:t xml:space="preserve"> toutefois</w:t>
      </w:r>
      <w:r w:rsidR="007E22F4">
        <w:rPr>
          <w:rFonts w:ascii="Arial" w:hAnsi="Arial" w:cs="Arial"/>
          <w:color w:val="000000" w:themeColor="text1"/>
        </w:rPr>
        <w:t>,</w:t>
      </w:r>
      <w:r w:rsidR="007E22F4" w:rsidRPr="006B1FA8">
        <w:rPr>
          <w:rFonts w:ascii="Arial" w:hAnsi="Arial" w:cs="Arial"/>
          <w:color w:val="000000" w:themeColor="text1"/>
        </w:rPr>
        <w:t xml:space="preserve"> à +</w:t>
      </w:r>
      <w:r w:rsidR="007E22F4">
        <w:rPr>
          <w:rFonts w:ascii="Arial" w:hAnsi="Arial" w:cs="Arial"/>
          <w:color w:val="000000" w:themeColor="text1"/>
        </w:rPr>
        <w:t>1,0 %</w:t>
      </w:r>
      <w:r w:rsidR="007E22F4" w:rsidRPr="006B1FA8">
        <w:rPr>
          <w:rFonts w:ascii="Arial" w:hAnsi="Arial" w:cs="Arial"/>
          <w:color w:val="000000" w:themeColor="text1"/>
        </w:rPr>
        <w:t xml:space="preserve">, </w:t>
      </w:r>
      <w:r w:rsidR="007E22F4">
        <w:rPr>
          <w:rFonts w:ascii="Arial" w:hAnsi="Arial" w:cs="Arial"/>
          <w:color w:val="000000" w:themeColor="text1"/>
        </w:rPr>
        <w:t>contre +2,2 % en 2022</w:t>
      </w:r>
      <w:r>
        <w:rPr>
          <w:rFonts w:ascii="Arial" w:hAnsi="Arial" w:cs="Arial"/>
          <w:color w:val="000000" w:themeColor="text1"/>
        </w:rPr>
        <w:t xml:space="preserve">, </w:t>
      </w:r>
      <w:r w:rsidR="00705150">
        <w:rPr>
          <w:rFonts w:ascii="Arial" w:hAnsi="Arial" w:cs="Arial"/>
          <w:color w:val="000000" w:themeColor="text1"/>
        </w:rPr>
        <w:t xml:space="preserve">très </w:t>
      </w:r>
      <w:r>
        <w:rPr>
          <w:rFonts w:ascii="Arial" w:hAnsi="Arial" w:cs="Arial"/>
          <w:color w:val="000000" w:themeColor="text1"/>
        </w:rPr>
        <w:t xml:space="preserve">pénalisé par celui </w:t>
      </w:r>
      <w:r w:rsidR="007E22F4">
        <w:rPr>
          <w:rFonts w:ascii="Arial" w:hAnsi="Arial" w:cs="Arial"/>
          <w:color w:val="000000" w:themeColor="text1"/>
        </w:rPr>
        <w:t>des ménages</w:t>
      </w:r>
      <w:r>
        <w:rPr>
          <w:rFonts w:ascii="Arial" w:hAnsi="Arial" w:cs="Arial"/>
          <w:color w:val="000000" w:themeColor="text1"/>
        </w:rPr>
        <w:t>. Ce dernier</w:t>
      </w:r>
      <w:r w:rsidR="007E22F4">
        <w:rPr>
          <w:rFonts w:ascii="Arial" w:hAnsi="Arial" w:cs="Arial"/>
          <w:color w:val="000000" w:themeColor="text1"/>
        </w:rPr>
        <w:t xml:space="preserve">, </w:t>
      </w:r>
      <w:r>
        <w:rPr>
          <w:rFonts w:ascii="Arial" w:hAnsi="Arial" w:cs="Arial"/>
          <w:color w:val="000000" w:themeColor="text1"/>
        </w:rPr>
        <w:t>composé</w:t>
      </w:r>
      <w:r w:rsidR="007E22F4">
        <w:rPr>
          <w:rFonts w:ascii="Arial" w:hAnsi="Arial" w:cs="Arial"/>
          <w:color w:val="000000" w:themeColor="text1"/>
        </w:rPr>
        <w:t xml:space="preserve"> à</w:t>
      </w:r>
      <w:r w:rsidR="007E22F4" w:rsidRPr="00A41A62">
        <w:rPr>
          <w:rFonts w:ascii="Arial" w:hAnsi="Arial" w:cs="Arial"/>
          <w:color w:val="000000" w:themeColor="text1"/>
        </w:rPr>
        <w:t xml:space="preserve"> plus de 80 % </w:t>
      </w:r>
      <w:r>
        <w:rPr>
          <w:rFonts w:ascii="Arial" w:hAnsi="Arial" w:cs="Arial"/>
          <w:color w:val="000000" w:themeColor="text1"/>
        </w:rPr>
        <w:t>de dépenses en logement (</w:t>
      </w:r>
      <w:r w:rsidR="007E22F4" w:rsidRPr="00A41A62">
        <w:rPr>
          <w:rFonts w:ascii="Arial" w:hAnsi="Arial" w:cs="Arial"/>
          <w:color w:val="000000" w:themeColor="text1"/>
        </w:rPr>
        <w:t xml:space="preserve">construction </w:t>
      </w:r>
      <w:r>
        <w:rPr>
          <w:rFonts w:ascii="Arial" w:hAnsi="Arial" w:cs="Arial"/>
          <w:color w:val="000000" w:themeColor="text1"/>
        </w:rPr>
        <w:t xml:space="preserve">neuve </w:t>
      </w:r>
      <w:r w:rsidR="007E22F4" w:rsidRPr="00A41A62">
        <w:rPr>
          <w:rFonts w:ascii="Arial" w:hAnsi="Arial" w:cs="Arial"/>
          <w:color w:val="000000" w:themeColor="text1"/>
        </w:rPr>
        <w:t>ou travaux lourds</w:t>
      </w:r>
      <w:r>
        <w:rPr>
          <w:rFonts w:ascii="Arial" w:hAnsi="Arial" w:cs="Arial"/>
          <w:color w:val="000000" w:themeColor="text1"/>
        </w:rPr>
        <w:t>)</w:t>
      </w:r>
      <w:r w:rsidR="007E22F4">
        <w:rPr>
          <w:rFonts w:ascii="Arial" w:hAnsi="Arial" w:cs="Arial"/>
          <w:color w:val="000000" w:themeColor="text1"/>
        </w:rPr>
        <w:t xml:space="preserve">, </w:t>
      </w:r>
      <w:r w:rsidR="00534D25">
        <w:rPr>
          <w:rFonts w:ascii="Arial" w:hAnsi="Arial" w:cs="Arial"/>
          <w:color w:val="000000" w:themeColor="text1"/>
        </w:rPr>
        <w:t>recule</w:t>
      </w:r>
      <w:r w:rsidR="007E22F4">
        <w:rPr>
          <w:rFonts w:ascii="Arial" w:hAnsi="Arial" w:cs="Arial"/>
          <w:color w:val="000000" w:themeColor="text1"/>
        </w:rPr>
        <w:t xml:space="preserve"> de 4,9 %.</w:t>
      </w:r>
      <w:r w:rsidR="00534D25">
        <w:rPr>
          <w:rFonts w:ascii="Arial" w:hAnsi="Arial" w:cs="Arial"/>
          <w:color w:val="000000" w:themeColor="text1"/>
        </w:rPr>
        <w:t xml:space="preserve"> Depuis son point d’inflexion de la mi-2022, cet agrégat a amputé </w:t>
      </w:r>
      <w:r w:rsidR="004C0AC4">
        <w:rPr>
          <w:rFonts w:ascii="Arial" w:hAnsi="Arial" w:cs="Arial"/>
          <w:color w:val="000000" w:themeColor="text1"/>
        </w:rPr>
        <w:t xml:space="preserve">le </w:t>
      </w:r>
      <w:r w:rsidR="00534D25">
        <w:rPr>
          <w:rFonts w:ascii="Arial" w:hAnsi="Arial" w:cs="Arial"/>
          <w:color w:val="000000" w:themeColor="text1"/>
        </w:rPr>
        <w:t xml:space="preserve">PIB de </w:t>
      </w:r>
      <w:r w:rsidR="004C0AC4">
        <w:rPr>
          <w:rFonts w:ascii="Arial" w:hAnsi="Arial" w:cs="Arial"/>
          <w:color w:val="000000" w:themeColor="text1"/>
        </w:rPr>
        <w:t>0,4</w:t>
      </w:r>
      <w:r w:rsidR="00534D25">
        <w:rPr>
          <w:rFonts w:ascii="Arial" w:hAnsi="Arial" w:cs="Arial"/>
          <w:color w:val="000000" w:themeColor="text1"/>
        </w:rPr>
        <w:t> </w:t>
      </w:r>
      <w:r w:rsidR="004C0AC4">
        <w:rPr>
          <w:rFonts w:ascii="Arial" w:hAnsi="Arial" w:cs="Arial"/>
          <w:color w:val="000000" w:themeColor="text1"/>
        </w:rPr>
        <w:t>point de pourcentage-</w:t>
      </w:r>
      <w:proofErr w:type="spellStart"/>
      <w:r w:rsidR="004C0AC4">
        <w:rPr>
          <w:rFonts w:ascii="Arial" w:hAnsi="Arial" w:cs="Arial"/>
          <w:color w:val="000000" w:themeColor="text1"/>
        </w:rPr>
        <w:t>ppct</w:t>
      </w:r>
      <w:proofErr w:type="spellEnd"/>
      <w:r w:rsidR="00534D25">
        <w:rPr>
          <w:rFonts w:ascii="Arial" w:hAnsi="Arial" w:cs="Arial"/>
          <w:color w:val="000000" w:themeColor="text1"/>
        </w:rPr>
        <w:t>.</w:t>
      </w:r>
    </w:p>
    <w:p w14:paraId="1A42CF3F" w14:textId="7474D617" w:rsidR="007E22F4" w:rsidRPr="006B1FA8" w:rsidRDefault="007E22F4" w:rsidP="007E22F4">
      <w:pPr>
        <w:spacing w:after="120" w:line="360" w:lineRule="auto"/>
        <w:jc w:val="both"/>
        <w:rPr>
          <w:rFonts w:ascii="Arial" w:hAnsi="Arial" w:cs="Arial"/>
          <w:color w:val="000000" w:themeColor="text1"/>
        </w:rPr>
      </w:pPr>
      <w:r>
        <w:rPr>
          <w:rFonts w:ascii="Arial" w:hAnsi="Arial" w:cs="Arial"/>
          <w:color w:val="000000" w:themeColor="text1"/>
        </w:rPr>
        <w:t>Par ailleurs, l</w:t>
      </w:r>
      <w:r w:rsidRPr="006B1FA8">
        <w:rPr>
          <w:rFonts w:ascii="Arial" w:hAnsi="Arial" w:cs="Arial"/>
          <w:color w:val="000000" w:themeColor="text1"/>
        </w:rPr>
        <w:t xml:space="preserve">es dépenses de consommation des ménages </w:t>
      </w:r>
      <w:r w:rsidR="00534D25">
        <w:rPr>
          <w:rFonts w:ascii="Arial" w:hAnsi="Arial" w:cs="Arial"/>
          <w:color w:val="000000" w:themeColor="text1"/>
        </w:rPr>
        <w:t xml:space="preserve">se stabilisent quasiment, </w:t>
      </w:r>
      <w:r>
        <w:rPr>
          <w:rFonts w:ascii="Arial" w:hAnsi="Arial" w:cs="Arial"/>
          <w:color w:val="000000" w:themeColor="text1"/>
        </w:rPr>
        <w:t xml:space="preserve">à +0,2 %. </w:t>
      </w:r>
      <w:r>
        <w:rPr>
          <w:rFonts w:ascii="Arial" w:hAnsi="Arial" w:cs="Arial"/>
        </w:rPr>
        <w:t xml:space="preserve">Ces acteurs </w:t>
      </w:r>
      <w:r w:rsidR="00534D25">
        <w:rPr>
          <w:rFonts w:ascii="Arial" w:hAnsi="Arial" w:cs="Arial"/>
        </w:rPr>
        <w:t xml:space="preserve">semblent à nouveau privilégier l’épargne de précaution à tout le reste, </w:t>
      </w:r>
      <w:r>
        <w:rPr>
          <w:rFonts w:ascii="Arial" w:hAnsi="Arial" w:cs="Arial"/>
        </w:rPr>
        <w:t>dans un contexte de forte inflation.</w:t>
      </w:r>
    </w:p>
    <w:p w14:paraId="1CD10774" w14:textId="1F102472" w:rsidR="007E22F4" w:rsidRDefault="00705150" w:rsidP="007E22F4">
      <w:pPr>
        <w:spacing w:after="120" w:line="360" w:lineRule="auto"/>
        <w:jc w:val="both"/>
        <w:rPr>
          <w:rFonts w:ascii="Arial" w:hAnsi="Arial" w:cs="Arial"/>
          <w:color w:val="000000" w:themeColor="text1"/>
        </w:rPr>
      </w:pPr>
      <w:r>
        <w:rPr>
          <w:rFonts w:ascii="Arial" w:hAnsi="Arial" w:cs="Arial"/>
          <w:color w:val="000000" w:themeColor="text1"/>
        </w:rPr>
        <w:t>Ce mouvement n’est pas étranger au</w:t>
      </w:r>
      <w:r w:rsidR="007E22F4">
        <w:rPr>
          <w:rFonts w:ascii="Arial" w:hAnsi="Arial" w:cs="Arial"/>
          <w:color w:val="000000" w:themeColor="text1"/>
        </w:rPr>
        <w:t xml:space="preserve"> maint</w:t>
      </w:r>
      <w:r>
        <w:rPr>
          <w:rFonts w:ascii="Arial" w:hAnsi="Arial" w:cs="Arial"/>
          <w:color w:val="000000" w:themeColor="text1"/>
        </w:rPr>
        <w:t>ien de l’inflation</w:t>
      </w:r>
      <w:r w:rsidR="007E22F4">
        <w:rPr>
          <w:rFonts w:ascii="Arial" w:hAnsi="Arial" w:cs="Arial"/>
          <w:color w:val="000000" w:themeColor="text1"/>
        </w:rPr>
        <w:t xml:space="preserve"> à niveau élevé en 2023, à +5,0 % en moyenne</w:t>
      </w:r>
      <w:r>
        <w:rPr>
          <w:rFonts w:ascii="Arial" w:hAnsi="Arial" w:cs="Arial"/>
          <w:color w:val="000000" w:themeColor="text1"/>
        </w:rPr>
        <w:t xml:space="preserve"> annuelle</w:t>
      </w:r>
      <w:r w:rsidR="007E22F4">
        <w:rPr>
          <w:rFonts w:ascii="Arial" w:hAnsi="Arial" w:cs="Arial"/>
          <w:color w:val="000000" w:themeColor="text1"/>
        </w:rPr>
        <w:t xml:space="preserve">. Elle ralentit néanmoins </w:t>
      </w:r>
      <w:r>
        <w:rPr>
          <w:rFonts w:ascii="Arial" w:hAnsi="Arial" w:cs="Arial"/>
          <w:color w:val="000000" w:themeColor="text1"/>
        </w:rPr>
        <w:t xml:space="preserve">rapidement </w:t>
      </w:r>
      <w:r w:rsidR="007E22F4">
        <w:rPr>
          <w:rFonts w:ascii="Arial" w:hAnsi="Arial" w:cs="Arial"/>
          <w:color w:val="000000" w:themeColor="text1"/>
        </w:rPr>
        <w:t>sur la fin d’année</w:t>
      </w:r>
      <w:r>
        <w:rPr>
          <w:rFonts w:ascii="Arial" w:hAnsi="Arial" w:cs="Arial"/>
          <w:color w:val="000000" w:themeColor="text1"/>
        </w:rPr>
        <w:t>,</w:t>
      </w:r>
      <w:r w:rsidR="007E22F4">
        <w:rPr>
          <w:rFonts w:ascii="Arial" w:hAnsi="Arial" w:cs="Arial"/>
          <w:color w:val="000000" w:themeColor="text1"/>
        </w:rPr>
        <w:t xml:space="preserve"> avec +3,4 % </w:t>
      </w:r>
      <w:r w:rsidR="001D328C">
        <w:rPr>
          <w:rFonts w:ascii="Arial" w:hAnsi="Arial" w:cs="Arial"/>
          <w:color w:val="000000" w:themeColor="text1"/>
        </w:rPr>
        <w:t>en</w:t>
      </w:r>
      <w:r w:rsidR="007E22F4">
        <w:rPr>
          <w:rFonts w:ascii="Arial" w:hAnsi="Arial" w:cs="Arial"/>
          <w:color w:val="000000" w:themeColor="text1"/>
        </w:rPr>
        <w:t xml:space="preserve"> novembre</w:t>
      </w:r>
      <w:r w:rsidR="001D328C">
        <w:rPr>
          <w:rFonts w:ascii="Arial" w:hAnsi="Arial" w:cs="Arial"/>
          <w:color w:val="000000" w:themeColor="text1"/>
        </w:rPr>
        <w:t xml:space="preserve"> sur un an</w:t>
      </w:r>
      <w:r w:rsidR="007E22F4">
        <w:rPr>
          <w:rFonts w:ascii="Arial" w:hAnsi="Arial" w:cs="Arial"/>
          <w:color w:val="000000" w:themeColor="text1"/>
        </w:rPr>
        <w:t xml:space="preserve"> (cf. graphique 2).</w:t>
      </w:r>
    </w:p>
    <w:p w14:paraId="6031CBA1" w14:textId="77777777" w:rsidR="007E22F4" w:rsidRDefault="007E22F4">
      <w:pPr>
        <w:rPr>
          <w:rFonts w:ascii="Arial" w:hAnsi="Arial" w:cs="Arial"/>
          <w:color w:val="000000" w:themeColor="text1"/>
        </w:rPr>
      </w:pPr>
      <w:r>
        <w:rPr>
          <w:rFonts w:ascii="Arial" w:hAnsi="Arial" w:cs="Arial"/>
          <w:color w:val="000000" w:themeColor="text1"/>
        </w:rPr>
        <w:br w:type="page"/>
      </w:r>
    </w:p>
    <w:p w14:paraId="1A17A531" w14:textId="6FA320E4" w:rsidR="007E22F4" w:rsidRPr="006B1FA8" w:rsidRDefault="007E22F4" w:rsidP="007E22F4">
      <w:pPr>
        <w:spacing w:after="0" w:line="360" w:lineRule="auto"/>
        <w:jc w:val="center"/>
        <w:rPr>
          <w:rFonts w:ascii="Arial" w:hAnsi="Arial" w:cs="Arial"/>
          <w:color w:val="000000" w:themeColor="text1"/>
        </w:rPr>
      </w:pPr>
      <w:r w:rsidRPr="006B1FA8">
        <w:rPr>
          <w:rFonts w:ascii="Arial" w:hAnsi="Arial" w:cs="Arial"/>
          <w:color w:val="000000" w:themeColor="text1"/>
        </w:rPr>
        <w:lastRenderedPageBreak/>
        <w:t xml:space="preserve">Graphique </w:t>
      </w:r>
      <w:r>
        <w:rPr>
          <w:rFonts w:ascii="Arial" w:hAnsi="Arial" w:cs="Arial"/>
          <w:color w:val="000000" w:themeColor="text1"/>
        </w:rPr>
        <w:t>2</w:t>
      </w:r>
      <w:r w:rsidRPr="006B1FA8">
        <w:rPr>
          <w:rFonts w:ascii="Arial" w:hAnsi="Arial" w:cs="Arial"/>
          <w:color w:val="000000" w:themeColor="text1"/>
        </w:rPr>
        <w:t xml:space="preserve"> – </w:t>
      </w:r>
      <w:r w:rsidRPr="006B1FA8">
        <w:rPr>
          <w:rFonts w:ascii="Arial" w:hAnsi="Arial" w:cs="Arial"/>
          <w:b/>
          <w:color w:val="000000" w:themeColor="text1"/>
        </w:rPr>
        <w:t>Taux d’i</w:t>
      </w:r>
      <w:r>
        <w:rPr>
          <w:rFonts w:ascii="Arial" w:hAnsi="Arial" w:cs="Arial"/>
          <w:b/>
          <w:color w:val="000000" w:themeColor="text1"/>
        </w:rPr>
        <w:t>nflation</w:t>
      </w:r>
    </w:p>
    <w:p w14:paraId="1828F72F" w14:textId="77777777" w:rsidR="007E22F4" w:rsidRPr="006B1FA8" w:rsidRDefault="007E22F4" w:rsidP="007E22F4">
      <w:pPr>
        <w:spacing w:after="60" w:line="240" w:lineRule="auto"/>
        <w:jc w:val="both"/>
        <w:rPr>
          <w:rFonts w:ascii="Arial" w:hAnsi="Arial" w:cs="Arial"/>
          <w:color w:val="000000" w:themeColor="text1"/>
        </w:rPr>
      </w:pPr>
      <w:r w:rsidRPr="00E12843">
        <w:rPr>
          <w:rFonts w:ascii="Arial" w:hAnsi="Arial" w:cs="Arial"/>
          <w:noProof/>
          <w:color w:val="000000" w:themeColor="text1"/>
        </w:rPr>
        <w:drawing>
          <wp:inline distT="0" distB="0" distL="0" distR="0" wp14:anchorId="003F227C" wp14:editId="111A8CA6">
            <wp:extent cx="5760720" cy="3072130"/>
            <wp:effectExtent l="0" t="0" r="0" b="0"/>
            <wp:docPr id="18161033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072130"/>
                    </a:xfrm>
                    <a:prstGeom prst="rect">
                      <a:avLst/>
                    </a:prstGeom>
                    <a:noFill/>
                    <a:ln>
                      <a:noFill/>
                    </a:ln>
                  </pic:spPr>
                </pic:pic>
              </a:graphicData>
            </a:graphic>
          </wp:inline>
        </w:drawing>
      </w:r>
    </w:p>
    <w:p w14:paraId="769F8A42" w14:textId="77777777" w:rsidR="007E22F4" w:rsidRPr="00F50280" w:rsidRDefault="007E22F4" w:rsidP="007E22F4">
      <w:pPr>
        <w:spacing w:after="120" w:line="360" w:lineRule="auto"/>
        <w:jc w:val="center"/>
        <w:rPr>
          <w:rFonts w:ascii="Arial" w:hAnsi="Arial" w:cs="Arial"/>
          <w:i/>
          <w:color w:val="000000" w:themeColor="text1"/>
          <w:sz w:val="20"/>
        </w:rPr>
      </w:pPr>
      <w:r w:rsidRPr="006B1FA8">
        <w:rPr>
          <w:rFonts w:ascii="Arial" w:hAnsi="Arial" w:cs="Arial"/>
          <w:i/>
          <w:color w:val="000000" w:themeColor="text1"/>
          <w:sz w:val="20"/>
        </w:rPr>
        <w:t xml:space="preserve">Source : </w:t>
      </w:r>
      <w:r>
        <w:rPr>
          <w:rFonts w:ascii="Arial" w:hAnsi="Arial" w:cs="Arial"/>
          <w:i/>
          <w:color w:val="000000" w:themeColor="text1"/>
          <w:sz w:val="20"/>
        </w:rPr>
        <w:t>Insee</w:t>
      </w:r>
    </w:p>
    <w:p w14:paraId="6187EB0E" w14:textId="1E930B6D" w:rsidR="007E22F4" w:rsidRDefault="00705150" w:rsidP="007E22F4">
      <w:pPr>
        <w:spacing w:after="120" w:line="360" w:lineRule="auto"/>
        <w:jc w:val="both"/>
        <w:rPr>
          <w:rFonts w:ascii="Arial" w:hAnsi="Arial" w:cs="Arial"/>
          <w:color w:val="000000" w:themeColor="text1"/>
        </w:rPr>
      </w:pPr>
      <w:r>
        <w:rPr>
          <w:rFonts w:ascii="Arial" w:hAnsi="Arial" w:cs="Arial"/>
          <w:color w:val="000000" w:themeColor="text1"/>
        </w:rPr>
        <w:t>L’action de</w:t>
      </w:r>
      <w:r w:rsidR="007E22F4">
        <w:rPr>
          <w:rFonts w:ascii="Arial" w:hAnsi="Arial" w:cs="Arial"/>
          <w:color w:val="000000" w:themeColor="text1"/>
        </w:rPr>
        <w:t xml:space="preserve"> la Banque centrale européenne (BCE)</w:t>
      </w:r>
      <w:r>
        <w:rPr>
          <w:rFonts w:ascii="Arial" w:hAnsi="Arial" w:cs="Arial"/>
          <w:color w:val="000000" w:themeColor="text1"/>
        </w:rPr>
        <w:t xml:space="preserve"> pour ramener l’inflation à des niveaux plus supportable</w:t>
      </w:r>
      <w:r w:rsidR="00BD7E86">
        <w:rPr>
          <w:rFonts w:ascii="Arial" w:hAnsi="Arial" w:cs="Arial"/>
          <w:color w:val="000000" w:themeColor="text1"/>
        </w:rPr>
        <w:t>s</w:t>
      </w:r>
      <w:r w:rsidRPr="00705150">
        <w:rPr>
          <w:rFonts w:ascii="Arial" w:hAnsi="Arial" w:cs="Arial"/>
          <w:color w:val="000000" w:themeColor="text1"/>
        </w:rPr>
        <w:t xml:space="preserve"> </w:t>
      </w:r>
      <w:r>
        <w:rPr>
          <w:rFonts w:ascii="Arial" w:hAnsi="Arial" w:cs="Arial"/>
          <w:color w:val="000000" w:themeColor="text1"/>
        </w:rPr>
        <w:t xml:space="preserve">semble donc porter ses fruits. Elle passe notamment par la </w:t>
      </w:r>
      <w:r w:rsidRPr="006B1FA8">
        <w:rPr>
          <w:rFonts w:ascii="Arial" w:hAnsi="Arial" w:cs="Arial"/>
          <w:color w:val="000000" w:themeColor="text1"/>
        </w:rPr>
        <w:t>remontée</w:t>
      </w:r>
      <w:r>
        <w:rPr>
          <w:rFonts w:ascii="Arial" w:hAnsi="Arial" w:cs="Arial"/>
          <w:color w:val="000000" w:themeColor="text1"/>
        </w:rPr>
        <w:t xml:space="preserve"> continue </w:t>
      </w:r>
      <w:r w:rsidRPr="006B1FA8">
        <w:rPr>
          <w:rFonts w:ascii="Arial" w:hAnsi="Arial" w:cs="Arial"/>
          <w:color w:val="000000" w:themeColor="text1"/>
        </w:rPr>
        <w:t>de</w:t>
      </w:r>
      <w:r>
        <w:rPr>
          <w:rFonts w:ascii="Arial" w:hAnsi="Arial" w:cs="Arial"/>
          <w:color w:val="000000" w:themeColor="text1"/>
        </w:rPr>
        <w:t xml:space="preserve"> ses</w:t>
      </w:r>
      <w:r w:rsidRPr="006B1FA8">
        <w:rPr>
          <w:rFonts w:ascii="Arial" w:hAnsi="Arial" w:cs="Arial"/>
          <w:color w:val="000000" w:themeColor="text1"/>
        </w:rPr>
        <w:t xml:space="preserve"> taux </w:t>
      </w:r>
      <w:r>
        <w:rPr>
          <w:rFonts w:ascii="Arial" w:hAnsi="Arial" w:cs="Arial"/>
          <w:color w:val="000000" w:themeColor="text1"/>
        </w:rPr>
        <w:t>directeurs depuis juillet 2022,</w:t>
      </w:r>
      <w:r w:rsidRPr="006B1FA8">
        <w:rPr>
          <w:rFonts w:ascii="Arial" w:hAnsi="Arial" w:cs="Arial"/>
          <w:color w:val="000000" w:themeColor="text1"/>
        </w:rPr>
        <w:t xml:space="preserve"> </w:t>
      </w:r>
      <w:r>
        <w:rPr>
          <w:rFonts w:ascii="Arial" w:hAnsi="Arial" w:cs="Arial"/>
          <w:color w:val="000000" w:themeColor="text1"/>
        </w:rPr>
        <w:t>jusqu’à porter le taux de refinancement à 4,5 %</w:t>
      </w:r>
      <w:r w:rsidRPr="006B1FA8">
        <w:rPr>
          <w:rFonts w:ascii="Arial" w:hAnsi="Arial" w:cs="Arial"/>
          <w:color w:val="000000" w:themeColor="text1"/>
        </w:rPr>
        <w:t xml:space="preserve"> (cf. graphique </w:t>
      </w:r>
      <w:r>
        <w:rPr>
          <w:rFonts w:ascii="Arial" w:hAnsi="Arial" w:cs="Arial"/>
          <w:color w:val="000000" w:themeColor="text1"/>
        </w:rPr>
        <w:t>3</w:t>
      </w:r>
      <w:r w:rsidRPr="006B1FA8">
        <w:rPr>
          <w:rFonts w:ascii="Arial" w:hAnsi="Arial" w:cs="Arial"/>
          <w:color w:val="000000" w:themeColor="text1"/>
        </w:rPr>
        <w:t>)</w:t>
      </w:r>
      <w:r w:rsidR="007E22F4" w:rsidRPr="006B1FA8">
        <w:rPr>
          <w:rFonts w:ascii="Arial" w:hAnsi="Arial" w:cs="Arial"/>
          <w:color w:val="000000" w:themeColor="text1"/>
        </w:rPr>
        <w:t xml:space="preserve">. </w:t>
      </w:r>
    </w:p>
    <w:p w14:paraId="193C6AD7" w14:textId="2A5E8DD0" w:rsidR="007E22F4" w:rsidRPr="006B1FA8" w:rsidRDefault="007E22F4" w:rsidP="007E22F4">
      <w:pPr>
        <w:spacing w:after="0" w:line="360" w:lineRule="auto"/>
        <w:jc w:val="center"/>
        <w:rPr>
          <w:rFonts w:ascii="Arial" w:hAnsi="Arial" w:cs="Arial"/>
          <w:color w:val="000000" w:themeColor="text1"/>
        </w:rPr>
      </w:pPr>
      <w:r w:rsidRPr="006B1FA8">
        <w:rPr>
          <w:rFonts w:ascii="Arial" w:hAnsi="Arial" w:cs="Arial"/>
          <w:color w:val="000000" w:themeColor="text1"/>
        </w:rPr>
        <w:t xml:space="preserve">Graphique </w:t>
      </w:r>
      <w:r>
        <w:rPr>
          <w:rFonts w:ascii="Arial" w:hAnsi="Arial" w:cs="Arial"/>
          <w:color w:val="000000" w:themeColor="text1"/>
        </w:rPr>
        <w:t>3</w:t>
      </w:r>
      <w:r w:rsidRPr="006B1FA8">
        <w:rPr>
          <w:rFonts w:ascii="Arial" w:hAnsi="Arial" w:cs="Arial"/>
          <w:color w:val="000000" w:themeColor="text1"/>
        </w:rPr>
        <w:t xml:space="preserve"> – </w:t>
      </w:r>
      <w:r w:rsidRPr="006B1FA8">
        <w:rPr>
          <w:rFonts w:ascii="Arial" w:hAnsi="Arial" w:cs="Arial"/>
          <w:b/>
          <w:color w:val="000000" w:themeColor="text1"/>
        </w:rPr>
        <w:t>Taux d’intérêt</w:t>
      </w:r>
    </w:p>
    <w:p w14:paraId="3DDB6DF5" w14:textId="77777777" w:rsidR="007E22F4" w:rsidRPr="006B1FA8" w:rsidRDefault="007E22F4" w:rsidP="007E22F4">
      <w:pPr>
        <w:spacing w:after="60" w:line="240" w:lineRule="auto"/>
        <w:jc w:val="both"/>
        <w:rPr>
          <w:rFonts w:ascii="Arial" w:hAnsi="Arial" w:cs="Arial"/>
          <w:color w:val="000000" w:themeColor="text1"/>
        </w:rPr>
      </w:pPr>
      <w:r w:rsidRPr="002C636E">
        <w:rPr>
          <w:rFonts w:ascii="Arial" w:hAnsi="Arial" w:cs="Arial"/>
          <w:noProof/>
          <w:color w:val="000000" w:themeColor="text1"/>
        </w:rPr>
        <w:drawing>
          <wp:inline distT="0" distB="0" distL="0" distR="0" wp14:anchorId="4292661E" wp14:editId="05645C62">
            <wp:extent cx="5760720" cy="2985135"/>
            <wp:effectExtent l="0" t="0" r="0" b="5715"/>
            <wp:docPr id="139611916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85135"/>
                    </a:xfrm>
                    <a:prstGeom prst="rect">
                      <a:avLst/>
                    </a:prstGeom>
                    <a:noFill/>
                    <a:ln>
                      <a:noFill/>
                    </a:ln>
                  </pic:spPr>
                </pic:pic>
              </a:graphicData>
            </a:graphic>
          </wp:inline>
        </w:drawing>
      </w:r>
    </w:p>
    <w:p w14:paraId="26161E28" w14:textId="77777777" w:rsidR="007E22F4" w:rsidRPr="006B1FA8" w:rsidRDefault="007E22F4" w:rsidP="007E22F4">
      <w:pPr>
        <w:spacing w:after="120" w:line="360" w:lineRule="auto"/>
        <w:jc w:val="center"/>
        <w:rPr>
          <w:rFonts w:ascii="Arial" w:hAnsi="Arial" w:cs="Arial"/>
          <w:i/>
          <w:color w:val="000000" w:themeColor="text1"/>
          <w:sz w:val="20"/>
        </w:rPr>
      </w:pPr>
      <w:r w:rsidRPr="006B1FA8">
        <w:rPr>
          <w:rFonts w:ascii="Arial" w:hAnsi="Arial" w:cs="Arial"/>
          <w:i/>
          <w:color w:val="000000" w:themeColor="text1"/>
          <w:sz w:val="20"/>
        </w:rPr>
        <w:t>Source : Banque centrale européenne, Banque de France</w:t>
      </w:r>
    </w:p>
    <w:p w14:paraId="5E5D771B" w14:textId="2189A066" w:rsidR="00E32D73" w:rsidRDefault="00705150" w:rsidP="00E32D73">
      <w:pPr>
        <w:spacing w:after="120" w:line="360" w:lineRule="auto"/>
        <w:jc w:val="both"/>
        <w:rPr>
          <w:rFonts w:ascii="Arial" w:hAnsi="Arial" w:cs="Arial"/>
          <w:color w:val="000000" w:themeColor="text1"/>
        </w:rPr>
      </w:pPr>
      <w:r>
        <w:rPr>
          <w:rFonts w:ascii="Arial" w:hAnsi="Arial" w:cs="Arial"/>
          <w:color w:val="000000" w:themeColor="text1"/>
        </w:rPr>
        <w:t xml:space="preserve">La diffusion de ce choc s’observe clairement dans l’évolution du </w:t>
      </w:r>
      <w:r w:rsidR="00E32D73">
        <w:rPr>
          <w:rFonts w:ascii="Arial" w:hAnsi="Arial" w:cs="Arial"/>
          <w:color w:val="000000" w:themeColor="text1"/>
        </w:rPr>
        <w:t xml:space="preserve">taux </w:t>
      </w:r>
      <w:r w:rsidR="00E32D73" w:rsidRPr="006B1FA8">
        <w:rPr>
          <w:rFonts w:ascii="Arial" w:hAnsi="Arial" w:cs="Arial"/>
          <w:color w:val="000000" w:themeColor="text1"/>
        </w:rPr>
        <w:t>de l’emprunt phare à dix ans</w:t>
      </w:r>
      <w:r>
        <w:rPr>
          <w:rFonts w:ascii="Arial" w:hAnsi="Arial" w:cs="Arial"/>
          <w:color w:val="000000" w:themeColor="text1"/>
        </w:rPr>
        <w:t>, qui atteint</w:t>
      </w:r>
      <w:r w:rsidR="00E32D73">
        <w:rPr>
          <w:rFonts w:ascii="Arial" w:hAnsi="Arial" w:cs="Arial"/>
          <w:color w:val="000000" w:themeColor="text1"/>
        </w:rPr>
        <w:t xml:space="preserve"> 3,1 % en moyenne sur 2023, </w:t>
      </w:r>
      <w:r>
        <w:rPr>
          <w:rFonts w:ascii="Arial" w:hAnsi="Arial" w:cs="Arial"/>
          <w:color w:val="000000" w:themeColor="text1"/>
        </w:rPr>
        <w:t>et sur ceux</w:t>
      </w:r>
      <w:r w:rsidR="00E32D73" w:rsidRPr="006B1FA8">
        <w:rPr>
          <w:rFonts w:ascii="Arial" w:hAnsi="Arial" w:cs="Arial"/>
          <w:color w:val="000000" w:themeColor="text1"/>
        </w:rPr>
        <w:t xml:space="preserve"> des crédits immobiliers aux particuliers</w:t>
      </w:r>
      <w:r w:rsidR="00E32D73">
        <w:rPr>
          <w:rFonts w:ascii="Arial" w:hAnsi="Arial" w:cs="Arial"/>
          <w:color w:val="000000" w:themeColor="text1"/>
        </w:rPr>
        <w:t xml:space="preserve"> </w:t>
      </w:r>
      <w:r w:rsidR="00E32D73">
        <w:rPr>
          <w:rFonts w:ascii="Arial" w:hAnsi="Arial" w:cs="Arial"/>
          <w:color w:val="000000" w:themeColor="text1"/>
        </w:rPr>
        <w:lastRenderedPageBreak/>
        <w:t>qui ressortent</w:t>
      </w:r>
      <w:r w:rsidR="00E32D73" w:rsidRPr="006B1FA8">
        <w:rPr>
          <w:rFonts w:ascii="Arial" w:hAnsi="Arial" w:cs="Arial"/>
          <w:color w:val="000000" w:themeColor="text1"/>
        </w:rPr>
        <w:t xml:space="preserve"> </w:t>
      </w:r>
      <w:r>
        <w:rPr>
          <w:rFonts w:ascii="Arial" w:hAnsi="Arial" w:cs="Arial"/>
          <w:color w:val="000000" w:themeColor="text1"/>
        </w:rPr>
        <w:t xml:space="preserve">en moyenne </w:t>
      </w:r>
      <w:r w:rsidR="00E32D73">
        <w:rPr>
          <w:rFonts w:ascii="Arial" w:hAnsi="Arial" w:cs="Arial"/>
          <w:color w:val="000000" w:themeColor="text1"/>
        </w:rPr>
        <w:t>aux environs de</w:t>
      </w:r>
      <w:r w:rsidR="00E32D73" w:rsidRPr="006B1FA8">
        <w:rPr>
          <w:rFonts w:ascii="Arial" w:hAnsi="Arial" w:cs="Arial"/>
          <w:color w:val="000000" w:themeColor="text1"/>
        </w:rPr>
        <w:t xml:space="preserve"> </w:t>
      </w:r>
      <w:r w:rsidR="00E32D73">
        <w:rPr>
          <w:rFonts w:ascii="Arial" w:hAnsi="Arial" w:cs="Arial"/>
          <w:color w:val="000000" w:themeColor="text1"/>
        </w:rPr>
        <w:t>3</w:t>
      </w:r>
      <w:r w:rsidR="00E32D73" w:rsidRPr="006B1FA8">
        <w:rPr>
          <w:rFonts w:ascii="Arial" w:hAnsi="Arial" w:cs="Arial"/>
          <w:color w:val="000000" w:themeColor="text1"/>
        </w:rPr>
        <w:t>,</w:t>
      </w:r>
      <w:r w:rsidR="00E32D73">
        <w:rPr>
          <w:rFonts w:ascii="Arial" w:hAnsi="Arial" w:cs="Arial"/>
          <w:color w:val="000000" w:themeColor="text1"/>
        </w:rPr>
        <w:t>5 %</w:t>
      </w:r>
      <w:r w:rsidR="00E32D73" w:rsidRPr="006B1FA8">
        <w:rPr>
          <w:rFonts w:ascii="Arial" w:hAnsi="Arial" w:cs="Arial"/>
          <w:color w:val="000000" w:themeColor="text1"/>
        </w:rPr>
        <w:t xml:space="preserve"> </w:t>
      </w:r>
      <w:r w:rsidR="00E32D73">
        <w:rPr>
          <w:rFonts w:ascii="Arial" w:hAnsi="Arial" w:cs="Arial"/>
          <w:color w:val="000000" w:themeColor="text1"/>
        </w:rPr>
        <w:t xml:space="preserve">(hors coût des assurances et des sûretés) sur la même période, soit près de 200 points de base </w:t>
      </w:r>
      <w:r w:rsidR="00EE5E0B">
        <w:rPr>
          <w:rFonts w:ascii="Arial" w:hAnsi="Arial" w:cs="Arial"/>
          <w:color w:val="000000" w:themeColor="text1"/>
        </w:rPr>
        <w:t>de plus qu’en</w:t>
      </w:r>
      <w:r w:rsidR="00E32D73">
        <w:rPr>
          <w:rFonts w:ascii="Arial" w:hAnsi="Arial" w:cs="Arial"/>
          <w:color w:val="000000" w:themeColor="text1"/>
        </w:rPr>
        <w:t xml:space="preserve"> 2022</w:t>
      </w:r>
      <w:r w:rsidR="00E32D73" w:rsidRPr="006B1FA8">
        <w:rPr>
          <w:rFonts w:ascii="Arial" w:hAnsi="Arial" w:cs="Arial"/>
          <w:color w:val="000000" w:themeColor="text1"/>
        </w:rPr>
        <w:t xml:space="preserve">. </w:t>
      </w:r>
      <w:r w:rsidR="00EE5E0B">
        <w:rPr>
          <w:rFonts w:ascii="Arial" w:hAnsi="Arial" w:cs="Arial"/>
          <w:color w:val="000000" w:themeColor="text1"/>
        </w:rPr>
        <w:t>L</w:t>
      </w:r>
      <w:r w:rsidR="00E32D73" w:rsidRPr="006B1FA8">
        <w:rPr>
          <w:rFonts w:ascii="Arial" w:hAnsi="Arial" w:cs="Arial"/>
          <w:color w:val="000000" w:themeColor="text1"/>
        </w:rPr>
        <w:t>’allongement des durées des prêts immobiliers</w:t>
      </w:r>
      <w:r w:rsidR="00E32D73">
        <w:rPr>
          <w:rFonts w:ascii="Arial" w:hAnsi="Arial" w:cs="Arial"/>
          <w:color w:val="000000" w:themeColor="text1"/>
        </w:rPr>
        <w:t xml:space="preserve"> </w:t>
      </w:r>
      <w:r w:rsidR="00E32D73" w:rsidRPr="006B1FA8">
        <w:rPr>
          <w:rFonts w:ascii="Arial" w:hAnsi="Arial" w:cs="Arial"/>
          <w:color w:val="000000" w:themeColor="text1"/>
        </w:rPr>
        <w:t xml:space="preserve">d’un peu </w:t>
      </w:r>
      <w:r w:rsidR="00E32D73">
        <w:rPr>
          <w:rFonts w:ascii="Arial" w:hAnsi="Arial" w:cs="Arial"/>
          <w:color w:val="000000" w:themeColor="text1"/>
        </w:rPr>
        <w:t>plus de six</w:t>
      </w:r>
      <w:r w:rsidR="00E32D73" w:rsidRPr="006B1FA8">
        <w:rPr>
          <w:rFonts w:ascii="Arial" w:hAnsi="Arial" w:cs="Arial"/>
          <w:color w:val="000000" w:themeColor="text1"/>
        </w:rPr>
        <w:t xml:space="preserve"> mois en 202</w:t>
      </w:r>
      <w:r w:rsidR="00E32D73">
        <w:rPr>
          <w:rFonts w:ascii="Arial" w:hAnsi="Arial" w:cs="Arial"/>
          <w:color w:val="000000" w:themeColor="text1"/>
        </w:rPr>
        <w:t>3</w:t>
      </w:r>
      <w:r w:rsidR="00EE5E0B">
        <w:rPr>
          <w:rFonts w:ascii="Arial" w:hAnsi="Arial" w:cs="Arial"/>
          <w:color w:val="000000" w:themeColor="text1"/>
        </w:rPr>
        <w:t xml:space="preserve"> (ils</w:t>
      </w:r>
      <w:r w:rsidR="00E32D73" w:rsidRPr="00C961BC">
        <w:rPr>
          <w:rFonts w:ascii="Arial" w:hAnsi="Arial" w:cs="Arial"/>
          <w:color w:val="000000" w:themeColor="text1"/>
        </w:rPr>
        <w:t xml:space="preserve"> atteignent </w:t>
      </w:r>
      <w:r w:rsidR="00EE5E0B">
        <w:rPr>
          <w:rFonts w:ascii="Arial" w:hAnsi="Arial" w:cs="Arial"/>
          <w:color w:val="000000" w:themeColor="text1"/>
        </w:rPr>
        <w:t>alors</w:t>
      </w:r>
      <w:r w:rsidR="00E32D73" w:rsidRPr="00C961BC">
        <w:rPr>
          <w:rFonts w:ascii="Arial" w:hAnsi="Arial" w:cs="Arial"/>
          <w:color w:val="000000" w:themeColor="text1"/>
        </w:rPr>
        <w:t xml:space="preserve"> leur plus haut historique</w:t>
      </w:r>
      <w:r w:rsidR="00EE5E0B">
        <w:rPr>
          <w:rFonts w:ascii="Arial" w:hAnsi="Arial" w:cs="Arial"/>
          <w:color w:val="000000" w:themeColor="text1"/>
        </w:rPr>
        <w:t>,</w:t>
      </w:r>
      <w:r w:rsidR="00E32D73" w:rsidRPr="00C961BC">
        <w:rPr>
          <w:rFonts w:ascii="Arial" w:hAnsi="Arial" w:cs="Arial"/>
          <w:color w:val="000000" w:themeColor="text1"/>
        </w:rPr>
        <w:t xml:space="preserve"> au-delà de 20,5 an</w:t>
      </w:r>
      <w:r w:rsidR="005877CF">
        <w:rPr>
          <w:rFonts w:ascii="Arial" w:hAnsi="Arial" w:cs="Arial"/>
          <w:color w:val="000000" w:themeColor="text1"/>
        </w:rPr>
        <w:t>nées</w:t>
      </w:r>
      <w:r w:rsidR="00EE5E0B">
        <w:rPr>
          <w:rFonts w:ascii="Arial" w:hAnsi="Arial" w:cs="Arial"/>
          <w:color w:val="000000" w:themeColor="text1"/>
        </w:rPr>
        <w:t>) ne permet pas de compenser</w:t>
      </w:r>
      <w:r w:rsidR="00E32D73" w:rsidRPr="00C961BC">
        <w:rPr>
          <w:rFonts w:ascii="Arial" w:hAnsi="Arial" w:cs="Arial"/>
          <w:color w:val="000000" w:themeColor="text1"/>
        </w:rPr>
        <w:t>.</w:t>
      </w:r>
    </w:p>
    <w:p w14:paraId="21828B8B" w14:textId="20A1390D" w:rsidR="000E78A1" w:rsidRDefault="00EE5E0B" w:rsidP="007E22F4">
      <w:pPr>
        <w:spacing w:after="120" w:line="360" w:lineRule="auto"/>
        <w:jc w:val="both"/>
        <w:rPr>
          <w:rFonts w:ascii="Arial" w:eastAsia="Calibri" w:hAnsi="Arial" w:cs="Arial"/>
          <w:color w:val="000000" w:themeColor="text1"/>
        </w:rPr>
      </w:pPr>
      <w:r>
        <w:rPr>
          <w:rFonts w:ascii="Arial" w:hAnsi="Arial" w:cs="Arial"/>
          <w:color w:val="000000" w:themeColor="text1"/>
        </w:rPr>
        <w:t>L‘action forte de la BCE se traduit donc en forte contraction du marché du crédit immobilier, dans l’Union européenne comme en France. De fait, m</w:t>
      </w:r>
      <w:r w:rsidR="007E22F4" w:rsidRPr="001A05B5">
        <w:rPr>
          <w:rFonts w:ascii="Arial" w:hAnsi="Arial" w:cs="Arial"/>
          <w:color w:val="000000" w:themeColor="text1"/>
        </w:rPr>
        <w:t xml:space="preserve">algré la mensualisation du taux d’usure intervenue </w:t>
      </w:r>
      <w:r w:rsidR="007E22F4">
        <w:rPr>
          <w:rFonts w:ascii="Arial" w:hAnsi="Arial" w:cs="Arial"/>
          <w:color w:val="000000" w:themeColor="text1"/>
        </w:rPr>
        <w:t>en</w:t>
      </w:r>
      <w:r w:rsidR="007E22F4" w:rsidRPr="001A05B5">
        <w:rPr>
          <w:rFonts w:ascii="Arial" w:hAnsi="Arial" w:cs="Arial"/>
          <w:color w:val="000000" w:themeColor="text1"/>
        </w:rPr>
        <w:t xml:space="preserve"> février </w:t>
      </w:r>
      <w:r w:rsidR="007E22F4">
        <w:rPr>
          <w:rFonts w:ascii="Arial" w:hAnsi="Arial" w:cs="Arial"/>
          <w:color w:val="000000" w:themeColor="text1"/>
        </w:rPr>
        <w:t>2023</w:t>
      </w:r>
      <w:r w:rsidR="003108FF">
        <w:rPr>
          <w:rFonts w:ascii="Arial" w:hAnsi="Arial" w:cs="Arial"/>
          <w:color w:val="000000" w:themeColor="text1"/>
        </w:rPr>
        <w:t xml:space="preserve"> permettant</w:t>
      </w:r>
      <w:r w:rsidR="007E22F4">
        <w:rPr>
          <w:rFonts w:ascii="Arial" w:hAnsi="Arial" w:cs="Arial"/>
          <w:color w:val="000000" w:themeColor="text1"/>
        </w:rPr>
        <w:t xml:space="preserve"> </w:t>
      </w:r>
      <w:r>
        <w:rPr>
          <w:rFonts w:ascii="Arial" w:hAnsi="Arial" w:cs="Arial"/>
          <w:color w:val="000000" w:themeColor="text1"/>
        </w:rPr>
        <w:t>de lever les blocages</w:t>
      </w:r>
      <w:r w:rsidR="007E22F4" w:rsidRPr="001A05B5">
        <w:rPr>
          <w:rFonts w:ascii="Arial" w:hAnsi="Arial" w:cs="Arial"/>
          <w:color w:val="000000" w:themeColor="text1"/>
        </w:rPr>
        <w:t xml:space="preserve">, le recul </w:t>
      </w:r>
      <w:r>
        <w:rPr>
          <w:rFonts w:ascii="Arial" w:hAnsi="Arial" w:cs="Arial"/>
          <w:color w:val="000000" w:themeColor="text1"/>
        </w:rPr>
        <w:t>du marché du crédit immobilier</w:t>
      </w:r>
      <w:r w:rsidR="007E22F4" w:rsidRPr="001A05B5">
        <w:rPr>
          <w:rFonts w:ascii="Arial" w:hAnsi="Arial" w:cs="Arial"/>
          <w:color w:val="000000" w:themeColor="text1"/>
        </w:rPr>
        <w:t xml:space="preserve"> s’est poursuivi </w:t>
      </w:r>
      <w:r w:rsidR="007E22F4">
        <w:rPr>
          <w:rFonts w:ascii="Arial" w:hAnsi="Arial" w:cs="Arial"/>
          <w:color w:val="000000" w:themeColor="text1"/>
        </w:rPr>
        <w:t>tout au long de l’année,</w:t>
      </w:r>
      <w:r w:rsidR="007E22F4" w:rsidRPr="001A05B5">
        <w:rPr>
          <w:rFonts w:ascii="Arial" w:eastAsia="Calibri" w:hAnsi="Arial" w:cs="Arial"/>
          <w:color w:val="000000" w:themeColor="text1"/>
        </w:rPr>
        <w:t xml:space="preserve"> </w:t>
      </w:r>
      <w:r w:rsidR="007E22F4">
        <w:rPr>
          <w:rFonts w:ascii="Arial" w:eastAsia="Calibri" w:hAnsi="Arial" w:cs="Arial"/>
          <w:color w:val="000000" w:themeColor="text1"/>
        </w:rPr>
        <w:t xml:space="preserve">avec une chute de la production d’environ </w:t>
      </w:r>
      <w:r w:rsidR="009D4799">
        <w:rPr>
          <w:rFonts w:ascii="Arial" w:eastAsia="Calibri" w:hAnsi="Arial" w:cs="Arial"/>
          <w:color w:val="000000" w:themeColor="text1"/>
        </w:rPr>
        <w:t>40</w:t>
      </w:r>
      <w:r>
        <w:rPr>
          <w:rFonts w:ascii="Arial" w:eastAsia="Calibri" w:hAnsi="Arial" w:cs="Arial"/>
          <w:color w:val="000000" w:themeColor="text1"/>
        </w:rPr>
        <w:t xml:space="preserve"> %, </w:t>
      </w:r>
      <w:r w:rsidR="009D4799">
        <w:rPr>
          <w:rFonts w:ascii="Arial" w:eastAsia="Calibri" w:hAnsi="Arial" w:cs="Arial"/>
          <w:color w:val="000000" w:themeColor="text1"/>
        </w:rPr>
        <w:t>avec le même score</w:t>
      </w:r>
      <w:r w:rsidR="007E22F4">
        <w:rPr>
          <w:rFonts w:ascii="Arial" w:eastAsia="Calibri" w:hAnsi="Arial" w:cs="Arial"/>
          <w:color w:val="000000" w:themeColor="text1"/>
        </w:rPr>
        <w:t xml:space="preserve"> dans le neuf</w:t>
      </w:r>
      <w:r w:rsidR="007E22F4" w:rsidRPr="006B1FA8">
        <w:rPr>
          <w:rFonts w:ascii="Arial" w:eastAsia="Calibri" w:hAnsi="Arial" w:cs="Arial"/>
          <w:color w:val="000000" w:themeColor="text1"/>
        </w:rPr>
        <w:t>.</w:t>
      </w:r>
      <w:r w:rsidR="007E22F4">
        <w:rPr>
          <w:rFonts w:ascii="Arial" w:eastAsia="Calibri" w:hAnsi="Arial" w:cs="Arial"/>
          <w:color w:val="000000" w:themeColor="text1"/>
        </w:rPr>
        <w:t xml:space="preserve"> De fait, </w:t>
      </w:r>
      <w:r>
        <w:rPr>
          <w:rFonts w:ascii="Arial" w:eastAsia="Calibri" w:hAnsi="Arial" w:cs="Arial"/>
          <w:color w:val="000000" w:themeColor="text1"/>
        </w:rPr>
        <w:t>alors que la baisse des prix des logements reste limitée (et s’avère quasi-impossible dans le neuf, soumis à des r</w:t>
      </w:r>
      <w:r w:rsidR="00232018">
        <w:rPr>
          <w:rFonts w:ascii="Arial" w:eastAsia="Calibri" w:hAnsi="Arial" w:cs="Arial"/>
          <w:color w:val="000000" w:themeColor="text1"/>
        </w:rPr>
        <w:t>é</w:t>
      </w:r>
      <w:r>
        <w:rPr>
          <w:rFonts w:ascii="Arial" w:eastAsia="Calibri" w:hAnsi="Arial" w:cs="Arial"/>
          <w:color w:val="000000" w:themeColor="text1"/>
        </w:rPr>
        <w:t xml:space="preserve">glementations environnementales coûteuses), le financement des opérations ressort plus difficile lorsque les taux d’intérêt progressent rapidement et que s’impose </w:t>
      </w:r>
      <w:r w:rsidR="007E22F4" w:rsidRPr="00DF68F1">
        <w:rPr>
          <w:rFonts w:ascii="Arial" w:eastAsia="Calibri" w:hAnsi="Arial" w:cs="Arial"/>
          <w:color w:val="000000" w:themeColor="text1"/>
        </w:rPr>
        <w:t>la r</w:t>
      </w:r>
      <w:r w:rsidR="007E22F4">
        <w:rPr>
          <w:rFonts w:ascii="Arial" w:eastAsia="Calibri" w:hAnsi="Arial" w:cs="Arial"/>
          <w:color w:val="000000" w:themeColor="text1"/>
        </w:rPr>
        <w:t>é</w:t>
      </w:r>
      <w:r w:rsidR="007E22F4" w:rsidRPr="00DF68F1">
        <w:rPr>
          <w:rFonts w:ascii="Arial" w:eastAsia="Calibri" w:hAnsi="Arial" w:cs="Arial"/>
          <w:color w:val="000000" w:themeColor="text1"/>
        </w:rPr>
        <w:t>glementation</w:t>
      </w:r>
      <w:r w:rsidR="000E78A1">
        <w:rPr>
          <w:rStyle w:val="Appelnotedebasdep"/>
          <w:rFonts w:ascii="Arial" w:eastAsia="Calibri" w:hAnsi="Arial" w:cs="Arial"/>
          <w:color w:val="000000" w:themeColor="text1"/>
        </w:rPr>
        <w:footnoteReference w:id="2"/>
      </w:r>
      <w:r w:rsidR="007E22F4" w:rsidRPr="00DF68F1">
        <w:rPr>
          <w:rFonts w:ascii="Arial" w:eastAsia="Calibri" w:hAnsi="Arial" w:cs="Arial"/>
          <w:color w:val="000000" w:themeColor="text1"/>
        </w:rPr>
        <w:t xml:space="preserve"> du H</w:t>
      </w:r>
      <w:r w:rsidR="007E22F4">
        <w:rPr>
          <w:rFonts w:ascii="Arial" w:eastAsia="Calibri" w:hAnsi="Arial" w:cs="Arial"/>
          <w:color w:val="000000" w:themeColor="text1"/>
        </w:rPr>
        <w:t xml:space="preserve">aut </w:t>
      </w:r>
      <w:r w:rsidR="007E22F4" w:rsidRPr="00DF68F1">
        <w:rPr>
          <w:rFonts w:ascii="Arial" w:eastAsia="Calibri" w:hAnsi="Arial" w:cs="Arial"/>
          <w:color w:val="000000" w:themeColor="text1"/>
        </w:rPr>
        <w:t>C</w:t>
      </w:r>
      <w:r w:rsidR="007E22F4">
        <w:rPr>
          <w:rFonts w:ascii="Arial" w:eastAsia="Calibri" w:hAnsi="Arial" w:cs="Arial"/>
          <w:color w:val="000000" w:themeColor="text1"/>
        </w:rPr>
        <w:t>o</w:t>
      </w:r>
      <w:r w:rsidR="000E78A1">
        <w:rPr>
          <w:rFonts w:ascii="Arial" w:eastAsia="Calibri" w:hAnsi="Arial" w:cs="Arial"/>
          <w:color w:val="000000" w:themeColor="text1"/>
        </w:rPr>
        <w:t>nseil</w:t>
      </w:r>
      <w:r w:rsidR="007E22F4">
        <w:rPr>
          <w:rFonts w:ascii="Arial" w:eastAsia="Calibri" w:hAnsi="Arial" w:cs="Arial"/>
          <w:color w:val="000000" w:themeColor="text1"/>
        </w:rPr>
        <w:t xml:space="preserve"> de </w:t>
      </w:r>
      <w:r w:rsidR="000E78A1">
        <w:rPr>
          <w:rFonts w:ascii="Arial" w:eastAsia="Calibri" w:hAnsi="Arial" w:cs="Arial"/>
          <w:color w:val="000000" w:themeColor="text1"/>
        </w:rPr>
        <w:t>s</w:t>
      </w:r>
      <w:r w:rsidR="007E22F4">
        <w:rPr>
          <w:rFonts w:ascii="Arial" w:eastAsia="Calibri" w:hAnsi="Arial" w:cs="Arial"/>
          <w:color w:val="000000" w:themeColor="text1"/>
        </w:rPr>
        <w:t>tabili</w:t>
      </w:r>
      <w:r w:rsidR="000E78A1">
        <w:rPr>
          <w:rFonts w:ascii="Arial" w:eastAsia="Calibri" w:hAnsi="Arial" w:cs="Arial"/>
          <w:color w:val="000000" w:themeColor="text1"/>
        </w:rPr>
        <w:t>té</w:t>
      </w:r>
      <w:r w:rsidR="007E22F4">
        <w:rPr>
          <w:rFonts w:ascii="Arial" w:eastAsia="Calibri" w:hAnsi="Arial" w:cs="Arial"/>
          <w:color w:val="000000" w:themeColor="text1"/>
        </w:rPr>
        <w:t xml:space="preserve"> </w:t>
      </w:r>
      <w:r w:rsidR="000E78A1">
        <w:rPr>
          <w:rFonts w:ascii="Arial" w:eastAsia="Calibri" w:hAnsi="Arial" w:cs="Arial"/>
          <w:color w:val="000000" w:themeColor="text1"/>
        </w:rPr>
        <w:t>f</w:t>
      </w:r>
      <w:r w:rsidR="007E22F4">
        <w:rPr>
          <w:rFonts w:ascii="Arial" w:eastAsia="Calibri" w:hAnsi="Arial" w:cs="Arial"/>
          <w:color w:val="000000" w:themeColor="text1"/>
        </w:rPr>
        <w:t xml:space="preserve">inancière </w:t>
      </w:r>
      <w:r w:rsidR="007E22F4" w:rsidRPr="00333619">
        <w:rPr>
          <w:rFonts w:ascii="Arial" w:eastAsia="Calibri" w:hAnsi="Arial" w:cs="Arial"/>
          <w:color w:val="000000" w:themeColor="text1"/>
        </w:rPr>
        <w:t>(</w:t>
      </w:r>
      <w:r w:rsidR="007E22F4">
        <w:rPr>
          <w:rFonts w:ascii="Arial" w:eastAsia="Calibri" w:hAnsi="Arial" w:cs="Arial"/>
          <w:color w:val="000000" w:themeColor="text1"/>
        </w:rPr>
        <w:t>HCSF)</w:t>
      </w:r>
      <w:r w:rsidR="007E22F4" w:rsidRPr="00DF68F1">
        <w:rPr>
          <w:rFonts w:ascii="Arial" w:eastAsia="Calibri" w:hAnsi="Arial" w:cs="Arial"/>
          <w:color w:val="000000" w:themeColor="text1"/>
        </w:rPr>
        <w:t>.</w:t>
      </w:r>
      <w:r w:rsidR="007E22F4">
        <w:rPr>
          <w:rFonts w:ascii="Arial" w:eastAsia="Calibri" w:hAnsi="Arial" w:cs="Arial"/>
          <w:color w:val="000000" w:themeColor="text1"/>
        </w:rPr>
        <w:t xml:space="preserve"> </w:t>
      </w:r>
      <w:r w:rsidR="000E78A1">
        <w:rPr>
          <w:rFonts w:ascii="Arial" w:eastAsia="Calibri" w:hAnsi="Arial" w:cs="Arial"/>
          <w:color w:val="000000" w:themeColor="text1"/>
        </w:rPr>
        <w:t xml:space="preserve">D’autant plus que les dispositifs publics de soutien souffrent de </w:t>
      </w:r>
      <w:proofErr w:type="gramStart"/>
      <w:r w:rsidR="000E78A1">
        <w:rPr>
          <w:rFonts w:ascii="Arial" w:eastAsia="Calibri" w:hAnsi="Arial" w:cs="Arial"/>
          <w:color w:val="000000" w:themeColor="text1"/>
        </w:rPr>
        <w:t>non actualisation</w:t>
      </w:r>
      <w:proofErr w:type="gramEnd"/>
      <w:r w:rsidR="000E78A1">
        <w:rPr>
          <w:rFonts w:ascii="Arial" w:eastAsia="Calibri" w:hAnsi="Arial" w:cs="Arial"/>
          <w:color w:val="000000" w:themeColor="text1"/>
        </w:rPr>
        <w:t xml:space="preserve"> de leurs barèmes depuis près d’une décennie, voire de réformes défavorables à l</w:t>
      </w:r>
      <w:r w:rsidR="00A31252">
        <w:rPr>
          <w:rFonts w:ascii="Arial" w:eastAsia="Calibri" w:hAnsi="Arial" w:cs="Arial"/>
          <w:color w:val="000000" w:themeColor="text1"/>
        </w:rPr>
        <w:t>e</w:t>
      </w:r>
      <w:r w:rsidR="000E78A1">
        <w:rPr>
          <w:rFonts w:ascii="Arial" w:eastAsia="Calibri" w:hAnsi="Arial" w:cs="Arial"/>
          <w:color w:val="000000" w:themeColor="text1"/>
        </w:rPr>
        <w:t xml:space="preserve">ur pouvoir </w:t>
      </w:r>
      <w:proofErr w:type="spellStart"/>
      <w:r w:rsidR="000E78A1">
        <w:rPr>
          <w:rFonts w:ascii="Arial" w:eastAsia="Calibri" w:hAnsi="Arial" w:cs="Arial"/>
          <w:color w:val="000000" w:themeColor="text1"/>
        </w:rPr>
        <w:t>solvabilisateur</w:t>
      </w:r>
      <w:proofErr w:type="spellEnd"/>
      <w:r w:rsidR="000E78A1">
        <w:rPr>
          <w:rFonts w:ascii="Arial" w:eastAsia="Calibri" w:hAnsi="Arial" w:cs="Arial"/>
          <w:color w:val="000000" w:themeColor="text1"/>
        </w:rPr>
        <w:t xml:space="preserve"> (« Pinel+ »).</w:t>
      </w:r>
    </w:p>
    <w:p w14:paraId="398FA951" w14:textId="7104F0F1" w:rsidR="007E22F4" w:rsidRDefault="000E78A1" w:rsidP="007E22F4">
      <w:pPr>
        <w:spacing w:after="120" w:line="360" w:lineRule="auto"/>
        <w:jc w:val="both"/>
        <w:rPr>
          <w:rFonts w:ascii="Arial" w:eastAsia="Calibri" w:hAnsi="Arial" w:cs="Arial"/>
          <w:color w:val="000000" w:themeColor="text1"/>
        </w:rPr>
      </w:pPr>
      <w:r>
        <w:rPr>
          <w:rFonts w:ascii="Arial" w:eastAsia="Calibri" w:hAnsi="Arial" w:cs="Arial"/>
          <w:color w:val="000000" w:themeColor="text1"/>
        </w:rPr>
        <w:t>Il faut toutefois remarquer que</w:t>
      </w:r>
      <w:r w:rsidR="007E22F4">
        <w:rPr>
          <w:rFonts w:ascii="Arial" w:eastAsia="Calibri" w:hAnsi="Arial" w:cs="Arial"/>
          <w:color w:val="000000" w:themeColor="text1"/>
        </w:rPr>
        <w:t>,</w:t>
      </w:r>
      <w:r w:rsidR="007E22F4" w:rsidRPr="00852BE7">
        <w:t xml:space="preserve"> </w:t>
      </w:r>
      <w:r w:rsidR="007E22F4">
        <w:rPr>
          <w:rFonts w:ascii="Arial" w:eastAsia="Calibri" w:hAnsi="Arial" w:cs="Arial"/>
          <w:color w:val="000000" w:themeColor="text1"/>
        </w:rPr>
        <w:t>d</w:t>
      </w:r>
      <w:r w:rsidR="007E22F4" w:rsidRPr="00852BE7">
        <w:rPr>
          <w:rFonts w:ascii="Arial" w:eastAsia="Calibri" w:hAnsi="Arial" w:cs="Arial"/>
          <w:color w:val="000000" w:themeColor="text1"/>
        </w:rPr>
        <w:t xml:space="preserve">u fait d’une amélioration </w:t>
      </w:r>
      <w:r w:rsidR="007E22F4">
        <w:rPr>
          <w:rFonts w:ascii="Arial" w:eastAsia="Calibri" w:hAnsi="Arial" w:cs="Arial"/>
          <w:color w:val="000000" w:themeColor="text1"/>
        </w:rPr>
        <w:t xml:space="preserve">progressive </w:t>
      </w:r>
      <w:r w:rsidR="007E22F4" w:rsidRPr="00852BE7">
        <w:rPr>
          <w:rFonts w:ascii="Arial" w:eastAsia="Calibri" w:hAnsi="Arial" w:cs="Arial"/>
          <w:color w:val="000000" w:themeColor="text1"/>
        </w:rPr>
        <w:t>de la profitabilité des nouveaux prêts</w:t>
      </w:r>
      <w:r>
        <w:rPr>
          <w:rFonts w:ascii="Arial" w:eastAsia="Calibri" w:hAnsi="Arial" w:cs="Arial"/>
          <w:color w:val="000000" w:themeColor="text1"/>
        </w:rPr>
        <w:t xml:space="preserve"> pour les établissements de crédit</w:t>
      </w:r>
      <w:r w:rsidR="007E22F4">
        <w:rPr>
          <w:rFonts w:ascii="Arial" w:eastAsia="Calibri" w:hAnsi="Arial" w:cs="Arial"/>
          <w:color w:val="000000" w:themeColor="text1"/>
        </w:rPr>
        <w:t xml:space="preserve">, le recul de l’activité a ralenti fin 2023, aux environs de -20 %. </w:t>
      </w:r>
    </w:p>
    <w:p w14:paraId="0194746C" w14:textId="77777777" w:rsidR="00BD53DD" w:rsidRPr="006B1FA8" w:rsidRDefault="00BD53DD" w:rsidP="00BD53DD">
      <w:pPr>
        <w:spacing w:before="360" w:after="120" w:line="360" w:lineRule="auto"/>
        <w:ind w:left="425" w:hanging="425"/>
        <w:jc w:val="both"/>
        <w:rPr>
          <w:rFonts w:ascii="Arial" w:hAnsi="Arial" w:cs="Arial"/>
          <w:color w:val="000000" w:themeColor="text1"/>
          <w:u w:val="single"/>
        </w:rPr>
      </w:pPr>
      <w:r w:rsidRPr="006B1FA8">
        <w:rPr>
          <w:rFonts w:ascii="Arial" w:hAnsi="Arial" w:cs="Arial"/>
          <w:color w:val="000000" w:themeColor="text1"/>
          <w:u w:val="single"/>
        </w:rPr>
        <w:t>1.2 Activité et emploi dans le bâtiment</w:t>
      </w:r>
    </w:p>
    <w:p w14:paraId="37430882" w14:textId="77777777" w:rsidR="00BD53DD" w:rsidRPr="006B1FA8" w:rsidRDefault="00BD53DD" w:rsidP="00BD53DD">
      <w:pPr>
        <w:spacing w:before="240" w:after="120" w:line="360" w:lineRule="auto"/>
        <w:jc w:val="both"/>
        <w:rPr>
          <w:rFonts w:ascii="Arial" w:hAnsi="Arial" w:cs="Arial"/>
          <w:i/>
          <w:color w:val="000000" w:themeColor="text1"/>
        </w:rPr>
      </w:pPr>
      <w:r w:rsidRPr="006B1FA8">
        <w:rPr>
          <w:rFonts w:ascii="Arial" w:hAnsi="Arial" w:cs="Arial"/>
          <w:i/>
          <w:color w:val="000000" w:themeColor="text1"/>
        </w:rPr>
        <w:t>1.2.1 Le logement neuf</w:t>
      </w:r>
    </w:p>
    <w:p w14:paraId="06A2374F" w14:textId="3BD8BAB1" w:rsidR="00674426" w:rsidRDefault="000E78A1" w:rsidP="00674426">
      <w:pPr>
        <w:spacing w:after="120" w:line="360" w:lineRule="auto"/>
        <w:jc w:val="both"/>
        <w:rPr>
          <w:rFonts w:ascii="Arial" w:hAnsi="Arial" w:cs="Arial"/>
          <w:color w:val="000000" w:themeColor="text1"/>
        </w:rPr>
      </w:pPr>
      <w:r>
        <w:rPr>
          <w:rFonts w:ascii="Arial" w:hAnsi="Arial" w:cs="Arial"/>
          <w:color w:val="000000" w:themeColor="text1"/>
        </w:rPr>
        <w:t>La</w:t>
      </w:r>
      <w:r w:rsidR="00674426" w:rsidRPr="00B7254F">
        <w:rPr>
          <w:rFonts w:ascii="Arial" w:hAnsi="Arial" w:cs="Arial"/>
          <w:color w:val="000000" w:themeColor="text1"/>
        </w:rPr>
        <w:t xml:space="preserve"> production </w:t>
      </w:r>
      <w:r w:rsidR="00BD7E86">
        <w:rPr>
          <w:rFonts w:ascii="Arial" w:hAnsi="Arial" w:cs="Arial"/>
          <w:color w:val="000000" w:themeColor="text1"/>
        </w:rPr>
        <w:t>du</w:t>
      </w:r>
      <w:r w:rsidR="00674426" w:rsidRPr="00B7254F">
        <w:rPr>
          <w:rFonts w:ascii="Arial" w:hAnsi="Arial" w:cs="Arial"/>
          <w:color w:val="000000" w:themeColor="text1"/>
        </w:rPr>
        <w:t xml:space="preserve"> logement neuf </w:t>
      </w:r>
      <w:r>
        <w:rPr>
          <w:rFonts w:ascii="Arial" w:hAnsi="Arial" w:cs="Arial"/>
          <w:color w:val="000000" w:themeColor="text1"/>
        </w:rPr>
        <w:t>se retourne</w:t>
      </w:r>
      <w:r w:rsidR="00674426" w:rsidRPr="00B7254F">
        <w:rPr>
          <w:rFonts w:ascii="Arial" w:hAnsi="Arial" w:cs="Arial"/>
          <w:color w:val="000000" w:themeColor="text1"/>
        </w:rPr>
        <w:t xml:space="preserve"> en 2023, </w:t>
      </w:r>
      <w:r>
        <w:rPr>
          <w:rFonts w:ascii="Arial" w:hAnsi="Arial" w:cs="Arial"/>
          <w:color w:val="000000" w:themeColor="text1"/>
        </w:rPr>
        <w:t xml:space="preserve">pour s’afficher en recul de </w:t>
      </w:r>
      <w:r w:rsidR="00674426" w:rsidRPr="00B7254F">
        <w:rPr>
          <w:rFonts w:ascii="Arial" w:hAnsi="Arial" w:cs="Arial"/>
          <w:color w:val="000000" w:themeColor="text1"/>
        </w:rPr>
        <w:t>7,</w:t>
      </w:r>
      <w:r w:rsidR="00674426">
        <w:rPr>
          <w:rFonts w:ascii="Arial" w:hAnsi="Arial" w:cs="Arial"/>
          <w:color w:val="000000" w:themeColor="text1"/>
        </w:rPr>
        <w:t>8</w:t>
      </w:r>
      <w:r w:rsidR="00674426" w:rsidRPr="00B7254F">
        <w:rPr>
          <w:rFonts w:ascii="Arial" w:hAnsi="Arial" w:cs="Arial"/>
          <w:color w:val="000000" w:themeColor="text1"/>
        </w:rPr>
        <w:t> % hors effet prix (cf. graphique 4).</w:t>
      </w:r>
    </w:p>
    <w:p w14:paraId="378AB1BD" w14:textId="77777777" w:rsidR="001A3C89" w:rsidRDefault="001A3C89">
      <w:pPr>
        <w:rPr>
          <w:rFonts w:ascii="Arial" w:hAnsi="Arial" w:cs="Arial"/>
          <w:color w:val="000000" w:themeColor="text1"/>
        </w:rPr>
      </w:pPr>
      <w:r>
        <w:rPr>
          <w:rFonts w:ascii="Arial" w:hAnsi="Arial" w:cs="Arial"/>
          <w:color w:val="000000" w:themeColor="text1"/>
        </w:rPr>
        <w:br w:type="page"/>
      </w:r>
    </w:p>
    <w:p w14:paraId="18308314" w14:textId="4E7D49F2" w:rsidR="00674426" w:rsidRPr="006B1FA8" w:rsidRDefault="00674426" w:rsidP="00674426">
      <w:pPr>
        <w:spacing w:after="0" w:line="360" w:lineRule="auto"/>
        <w:jc w:val="center"/>
        <w:rPr>
          <w:rFonts w:ascii="Arial" w:hAnsi="Arial" w:cs="Arial"/>
          <w:b/>
          <w:color w:val="000000" w:themeColor="text1"/>
        </w:rPr>
      </w:pPr>
      <w:r w:rsidRPr="006B1FA8">
        <w:rPr>
          <w:rFonts w:ascii="Arial" w:hAnsi="Arial" w:cs="Arial"/>
          <w:color w:val="000000" w:themeColor="text1"/>
        </w:rPr>
        <w:lastRenderedPageBreak/>
        <w:t xml:space="preserve">Graphique </w:t>
      </w:r>
      <w:r>
        <w:rPr>
          <w:rFonts w:ascii="Arial" w:hAnsi="Arial" w:cs="Arial"/>
          <w:color w:val="000000" w:themeColor="text1"/>
        </w:rPr>
        <w:t>4</w:t>
      </w:r>
      <w:r w:rsidRPr="006B1FA8">
        <w:rPr>
          <w:rFonts w:ascii="Arial" w:hAnsi="Arial" w:cs="Arial"/>
          <w:color w:val="000000" w:themeColor="text1"/>
        </w:rPr>
        <w:t xml:space="preserve"> – </w:t>
      </w:r>
      <w:r w:rsidRPr="006B1FA8">
        <w:rPr>
          <w:rFonts w:ascii="Arial" w:hAnsi="Arial" w:cs="Arial"/>
          <w:b/>
          <w:color w:val="000000" w:themeColor="text1"/>
        </w:rPr>
        <w:t xml:space="preserve">Autorisations, mises en chantier </w:t>
      </w:r>
      <w:r w:rsidRPr="006B1FA8">
        <w:rPr>
          <w:rFonts w:ascii="Arial" w:hAnsi="Arial" w:cs="Arial"/>
          <w:color w:val="000000" w:themeColor="text1"/>
        </w:rPr>
        <w:t xml:space="preserve">(en date réelle estimée) </w:t>
      </w:r>
      <w:r w:rsidRPr="006B1FA8">
        <w:rPr>
          <w:rFonts w:ascii="Arial" w:hAnsi="Arial" w:cs="Arial"/>
          <w:b/>
          <w:color w:val="000000" w:themeColor="text1"/>
        </w:rPr>
        <w:t>et production de logements</w:t>
      </w:r>
    </w:p>
    <w:p w14:paraId="182164A5" w14:textId="77777777" w:rsidR="00674426" w:rsidRPr="006B1FA8" w:rsidRDefault="00674426" w:rsidP="00674426">
      <w:pPr>
        <w:spacing w:after="60" w:line="240" w:lineRule="auto"/>
        <w:jc w:val="center"/>
        <w:rPr>
          <w:rFonts w:ascii="Arial" w:hAnsi="Arial" w:cs="Arial"/>
          <w:color w:val="000000" w:themeColor="text1"/>
        </w:rPr>
      </w:pPr>
      <w:r w:rsidRPr="00047347">
        <w:rPr>
          <w:rFonts w:ascii="Arial" w:hAnsi="Arial" w:cs="Arial"/>
          <w:noProof/>
          <w:color w:val="000000" w:themeColor="text1"/>
        </w:rPr>
        <w:drawing>
          <wp:inline distT="0" distB="0" distL="0" distR="0" wp14:anchorId="0086B657" wp14:editId="4B0DE51F">
            <wp:extent cx="5760720" cy="3051175"/>
            <wp:effectExtent l="0" t="0" r="0" b="0"/>
            <wp:docPr id="5562985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051175"/>
                    </a:xfrm>
                    <a:prstGeom prst="rect">
                      <a:avLst/>
                    </a:prstGeom>
                    <a:noFill/>
                    <a:ln>
                      <a:noFill/>
                    </a:ln>
                  </pic:spPr>
                </pic:pic>
              </a:graphicData>
            </a:graphic>
          </wp:inline>
        </w:drawing>
      </w:r>
    </w:p>
    <w:p w14:paraId="541EC144" w14:textId="77777777" w:rsidR="00674426" w:rsidRPr="006B1FA8" w:rsidRDefault="00674426" w:rsidP="00674426">
      <w:pPr>
        <w:spacing w:after="120" w:line="360" w:lineRule="auto"/>
        <w:jc w:val="center"/>
        <w:rPr>
          <w:rFonts w:ascii="Arial" w:hAnsi="Arial" w:cs="Arial"/>
          <w:i/>
          <w:color w:val="000000" w:themeColor="text1"/>
          <w:sz w:val="20"/>
          <w:szCs w:val="20"/>
        </w:rPr>
      </w:pPr>
      <w:r w:rsidRPr="006B1FA8">
        <w:rPr>
          <w:rFonts w:ascii="Arial" w:hAnsi="Arial" w:cs="Arial"/>
          <w:i/>
          <w:color w:val="000000" w:themeColor="text1"/>
          <w:sz w:val="20"/>
          <w:szCs w:val="20"/>
        </w:rPr>
        <w:t>Source : FFB à partir de Ministère de la transition écologique</w:t>
      </w:r>
      <w:r>
        <w:rPr>
          <w:rFonts w:ascii="Arial" w:hAnsi="Arial" w:cs="Arial"/>
          <w:i/>
          <w:color w:val="000000" w:themeColor="text1"/>
          <w:sz w:val="20"/>
          <w:szCs w:val="20"/>
        </w:rPr>
        <w:t xml:space="preserve"> et de la cohésion des territoires</w:t>
      </w:r>
      <w:r w:rsidRPr="006B1FA8">
        <w:rPr>
          <w:rFonts w:ascii="Arial" w:hAnsi="Arial" w:cs="Arial"/>
          <w:i/>
          <w:color w:val="000000" w:themeColor="text1"/>
          <w:sz w:val="20"/>
          <w:szCs w:val="20"/>
        </w:rPr>
        <w:t xml:space="preserve"> (MTE</w:t>
      </w:r>
      <w:r>
        <w:rPr>
          <w:rFonts w:ascii="Arial" w:hAnsi="Arial" w:cs="Arial"/>
          <w:i/>
          <w:color w:val="000000" w:themeColor="text1"/>
          <w:sz w:val="20"/>
          <w:szCs w:val="20"/>
        </w:rPr>
        <w:t>CT</w:t>
      </w:r>
      <w:r w:rsidRPr="006B1FA8">
        <w:rPr>
          <w:rFonts w:ascii="Arial" w:hAnsi="Arial" w:cs="Arial"/>
          <w:i/>
          <w:color w:val="000000" w:themeColor="text1"/>
          <w:sz w:val="20"/>
          <w:szCs w:val="20"/>
        </w:rPr>
        <w:t>)/Commissariat général au développement durable (CGDD)/Service de la donnée et des études statistiques (SDES), Sit@del2</w:t>
      </w:r>
    </w:p>
    <w:p w14:paraId="3AE937CD" w14:textId="79D3F746" w:rsidR="00674426" w:rsidRPr="0021762A" w:rsidRDefault="000E78A1" w:rsidP="00674426">
      <w:pPr>
        <w:spacing w:after="120" w:line="360" w:lineRule="auto"/>
        <w:jc w:val="both"/>
        <w:rPr>
          <w:rFonts w:ascii="Arial" w:hAnsi="Arial" w:cs="Arial"/>
          <w:color w:val="000000" w:themeColor="text1"/>
        </w:rPr>
      </w:pPr>
      <w:r>
        <w:rPr>
          <w:rFonts w:ascii="Arial" w:hAnsi="Arial" w:cs="Arial"/>
          <w:color w:val="000000" w:themeColor="text1"/>
        </w:rPr>
        <w:t>Ce mouvement</w:t>
      </w:r>
      <w:r w:rsidR="00674426">
        <w:rPr>
          <w:rFonts w:ascii="Arial" w:hAnsi="Arial" w:cs="Arial"/>
          <w:color w:val="000000" w:themeColor="text1"/>
        </w:rPr>
        <w:t xml:space="preserve"> s’explique par un effondrement des mises en chantier de 22,3 % en 2023, </w:t>
      </w:r>
      <w:r>
        <w:rPr>
          <w:rFonts w:ascii="Arial" w:hAnsi="Arial" w:cs="Arial"/>
          <w:color w:val="000000" w:themeColor="text1"/>
        </w:rPr>
        <w:t>et</w:t>
      </w:r>
      <w:r w:rsidR="00674426">
        <w:rPr>
          <w:rFonts w:ascii="Arial" w:hAnsi="Arial" w:cs="Arial"/>
          <w:color w:val="000000" w:themeColor="text1"/>
        </w:rPr>
        <w:t xml:space="preserve"> même </w:t>
      </w:r>
      <w:r>
        <w:rPr>
          <w:rFonts w:ascii="Arial" w:hAnsi="Arial" w:cs="Arial"/>
          <w:color w:val="000000" w:themeColor="text1"/>
        </w:rPr>
        <w:t xml:space="preserve">de </w:t>
      </w:r>
      <w:r w:rsidR="00674426">
        <w:rPr>
          <w:rFonts w:ascii="Arial" w:hAnsi="Arial" w:cs="Arial"/>
          <w:color w:val="000000" w:themeColor="text1"/>
        </w:rPr>
        <w:t xml:space="preserve">25,8 % dans l’individuel, plus réactif, tandis que le collectif </w:t>
      </w:r>
      <w:r>
        <w:rPr>
          <w:rFonts w:ascii="Arial" w:hAnsi="Arial" w:cs="Arial"/>
          <w:color w:val="000000" w:themeColor="text1"/>
        </w:rPr>
        <w:t xml:space="preserve">chute </w:t>
      </w:r>
      <w:r w:rsidR="00674426">
        <w:rPr>
          <w:rFonts w:ascii="Arial" w:hAnsi="Arial" w:cs="Arial"/>
          <w:color w:val="000000" w:themeColor="text1"/>
        </w:rPr>
        <w:t xml:space="preserve">de 19,5 %. Ainsi, on compte seulement 286 300 logements commencés sur l’ensemble de l’année, </w:t>
      </w:r>
      <w:r>
        <w:rPr>
          <w:rFonts w:ascii="Arial" w:hAnsi="Arial" w:cs="Arial"/>
          <w:color w:val="000000" w:themeColor="text1"/>
        </w:rPr>
        <w:t>à peine au-dessus</w:t>
      </w:r>
      <w:r w:rsidR="00674426">
        <w:rPr>
          <w:rFonts w:ascii="Arial" w:hAnsi="Arial" w:cs="Arial"/>
          <w:color w:val="000000" w:themeColor="text1"/>
        </w:rPr>
        <w:t xml:space="preserve"> des points bas historiques de 1992 et 1993 (275 000 unités environ).</w:t>
      </w:r>
    </w:p>
    <w:p w14:paraId="200E951B" w14:textId="12C0D701" w:rsidR="00674426" w:rsidRDefault="00674426" w:rsidP="00674426">
      <w:pPr>
        <w:spacing w:after="120" w:line="360" w:lineRule="auto"/>
        <w:jc w:val="both"/>
        <w:rPr>
          <w:rFonts w:ascii="Arial" w:hAnsi="Arial" w:cs="Arial"/>
          <w:color w:val="000000" w:themeColor="text1"/>
        </w:rPr>
      </w:pPr>
      <w:r>
        <w:rPr>
          <w:rFonts w:ascii="Arial" w:hAnsi="Arial" w:cs="Arial"/>
          <w:color w:val="000000" w:themeColor="text1"/>
        </w:rPr>
        <w:t>L</w:t>
      </w:r>
      <w:r w:rsidR="000E78A1">
        <w:rPr>
          <w:rFonts w:ascii="Arial" w:hAnsi="Arial" w:cs="Arial"/>
          <w:color w:val="000000" w:themeColor="text1"/>
        </w:rPr>
        <w:t>e plongeon</w:t>
      </w:r>
      <w:r>
        <w:rPr>
          <w:rFonts w:ascii="Arial" w:hAnsi="Arial" w:cs="Arial"/>
          <w:color w:val="000000" w:themeColor="text1"/>
        </w:rPr>
        <w:t xml:space="preserve"> des autorisations s’avère légèrement plus rapide</w:t>
      </w:r>
      <w:r w:rsidRPr="00A57DF9">
        <w:rPr>
          <w:rFonts w:ascii="Arial" w:hAnsi="Arial" w:cs="Arial"/>
          <w:color w:val="000000" w:themeColor="text1"/>
        </w:rPr>
        <w:t>, à -2</w:t>
      </w:r>
      <w:r>
        <w:rPr>
          <w:rFonts w:ascii="Arial" w:hAnsi="Arial" w:cs="Arial"/>
          <w:color w:val="000000" w:themeColor="text1"/>
        </w:rPr>
        <w:t>3</w:t>
      </w:r>
      <w:r w:rsidRPr="00A57DF9">
        <w:rPr>
          <w:rFonts w:ascii="Arial" w:hAnsi="Arial" w:cs="Arial"/>
          <w:color w:val="000000" w:themeColor="text1"/>
        </w:rPr>
        <w:t>,</w:t>
      </w:r>
      <w:r>
        <w:rPr>
          <w:rFonts w:ascii="Arial" w:hAnsi="Arial" w:cs="Arial"/>
          <w:color w:val="000000" w:themeColor="text1"/>
        </w:rPr>
        <w:t>9</w:t>
      </w:r>
      <w:r w:rsidRPr="00A57DF9">
        <w:rPr>
          <w:rFonts w:ascii="Arial" w:hAnsi="Arial" w:cs="Arial"/>
          <w:color w:val="000000" w:themeColor="text1"/>
        </w:rPr>
        <w:t> % sur un an</w:t>
      </w:r>
      <w:r>
        <w:rPr>
          <w:rFonts w:ascii="Arial" w:hAnsi="Arial" w:cs="Arial"/>
          <w:color w:val="000000" w:themeColor="text1"/>
        </w:rPr>
        <w:t xml:space="preserve">. Elles atterrissent </w:t>
      </w:r>
      <w:r w:rsidRPr="00A57DF9">
        <w:rPr>
          <w:rFonts w:ascii="Arial" w:hAnsi="Arial" w:cs="Arial"/>
          <w:color w:val="000000" w:themeColor="text1"/>
        </w:rPr>
        <w:t>à 3</w:t>
      </w:r>
      <w:r>
        <w:rPr>
          <w:rFonts w:ascii="Arial" w:hAnsi="Arial" w:cs="Arial"/>
          <w:color w:val="000000" w:themeColor="text1"/>
        </w:rPr>
        <w:t>72</w:t>
      </w:r>
      <w:r w:rsidRPr="00A57DF9">
        <w:rPr>
          <w:rFonts w:ascii="Arial" w:hAnsi="Arial" w:cs="Arial"/>
          <w:color w:val="000000" w:themeColor="text1"/>
        </w:rPr>
        <w:t> </w:t>
      </w:r>
      <w:r>
        <w:rPr>
          <w:rFonts w:ascii="Arial" w:hAnsi="Arial" w:cs="Arial"/>
          <w:color w:val="000000" w:themeColor="text1"/>
        </w:rPr>
        <w:t>4</w:t>
      </w:r>
      <w:r w:rsidRPr="00A57DF9">
        <w:rPr>
          <w:rFonts w:ascii="Arial" w:hAnsi="Arial" w:cs="Arial"/>
          <w:color w:val="000000" w:themeColor="text1"/>
        </w:rPr>
        <w:t>00 unités en 2023, niveau le plus bas enregistré depuis 1999.</w:t>
      </w:r>
      <w:r>
        <w:rPr>
          <w:rFonts w:ascii="Arial" w:hAnsi="Arial" w:cs="Arial"/>
          <w:color w:val="000000" w:themeColor="text1"/>
        </w:rPr>
        <w:t xml:space="preserve"> Les </w:t>
      </w:r>
      <w:r w:rsidR="00DB2AEC">
        <w:rPr>
          <w:rFonts w:ascii="Arial" w:hAnsi="Arial" w:cs="Arial"/>
          <w:color w:val="000000" w:themeColor="text1"/>
        </w:rPr>
        <w:t>chutes</w:t>
      </w:r>
      <w:r>
        <w:rPr>
          <w:rFonts w:ascii="Arial" w:hAnsi="Arial" w:cs="Arial"/>
          <w:color w:val="000000" w:themeColor="text1"/>
        </w:rPr>
        <w:t xml:space="preserve"> atteignent respectivement -28,3 % et -20,7 % dans l’individuel et le collectif, en ligne avec l’effondrement d’environ 35 % des ventes de logements neufs, dont -40 % à des particuliers</w:t>
      </w:r>
      <w:r w:rsidR="00DB2AEC">
        <w:rPr>
          <w:rFonts w:ascii="Arial" w:hAnsi="Arial" w:cs="Arial"/>
          <w:color w:val="000000" w:themeColor="text1"/>
        </w:rPr>
        <w:t>,</w:t>
      </w:r>
      <w:r>
        <w:rPr>
          <w:rFonts w:ascii="Arial" w:hAnsi="Arial" w:cs="Arial"/>
          <w:color w:val="000000" w:themeColor="text1"/>
        </w:rPr>
        <w:t xml:space="preserve"> alors que celles </w:t>
      </w:r>
      <w:r w:rsidR="00DB2AEC">
        <w:rPr>
          <w:rFonts w:ascii="Arial" w:hAnsi="Arial" w:cs="Arial"/>
          <w:color w:val="000000" w:themeColor="text1"/>
        </w:rPr>
        <w:t>à</w:t>
      </w:r>
      <w:r>
        <w:rPr>
          <w:rFonts w:ascii="Arial" w:hAnsi="Arial" w:cs="Arial"/>
          <w:color w:val="000000" w:themeColor="text1"/>
        </w:rPr>
        <w:t xml:space="preserve"> institutionnels retrouvent un peu de vigueur </w:t>
      </w:r>
      <w:r w:rsidR="00DB2AEC">
        <w:rPr>
          <w:rFonts w:ascii="Arial" w:hAnsi="Arial" w:cs="Arial"/>
          <w:color w:val="000000" w:themeColor="text1"/>
        </w:rPr>
        <w:t>grâce</w:t>
      </w:r>
      <w:r>
        <w:rPr>
          <w:rFonts w:ascii="Arial" w:hAnsi="Arial" w:cs="Arial"/>
          <w:color w:val="000000" w:themeColor="text1"/>
        </w:rPr>
        <w:t xml:space="preserve"> </w:t>
      </w:r>
      <w:r w:rsidR="00DB2AEC">
        <w:rPr>
          <w:rFonts w:ascii="Arial" w:hAnsi="Arial" w:cs="Arial"/>
          <w:color w:val="000000" w:themeColor="text1"/>
        </w:rPr>
        <w:t>à la</w:t>
      </w:r>
      <w:r w:rsidRPr="008E4C3B">
        <w:rPr>
          <w:rFonts w:ascii="Arial" w:hAnsi="Arial" w:cs="Arial"/>
          <w:color w:val="000000" w:themeColor="text1"/>
        </w:rPr>
        <w:t xml:space="preserve"> politique de rachat du stock </w:t>
      </w:r>
      <w:r w:rsidR="00DB2AEC">
        <w:rPr>
          <w:rFonts w:ascii="Arial" w:hAnsi="Arial" w:cs="Arial"/>
          <w:color w:val="000000" w:themeColor="text1"/>
        </w:rPr>
        <w:t xml:space="preserve">des promoteurs </w:t>
      </w:r>
      <w:r w:rsidRPr="008E4C3B">
        <w:rPr>
          <w:rFonts w:ascii="Arial" w:hAnsi="Arial" w:cs="Arial"/>
          <w:color w:val="000000" w:themeColor="text1"/>
        </w:rPr>
        <w:t>engagée par Action Logement et CDC Habitat.</w:t>
      </w:r>
    </w:p>
    <w:p w14:paraId="6A7AFA48" w14:textId="380B45D7" w:rsidR="00674426" w:rsidRDefault="00DB2AEC" w:rsidP="00674426">
      <w:pPr>
        <w:spacing w:after="0" w:line="360" w:lineRule="auto"/>
        <w:jc w:val="both"/>
        <w:rPr>
          <w:rFonts w:ascii="Arial" w:hAnsi="Arial" w:cs="Arial"/>
          <w:color w:val="000000" w:themeColor="text1"/>
        </w:rPr>
      </w:pPr>
      <w:r>
        <w:rPr>
          <w:rFonts w:ascii="Arial" w:hAnsi="Arial" w:cs="Arial"/>
          <w:color w:val="000000" w:themeColor="text1"/>
        </w:rPr>
        <w:t>Comme vu précédemment,</w:t>
      </w:r>
      <w:r w:rsidR="00674426">
        <w:rPr>
          <w:rFonts w:ascii="Arial" w:hAnsi="Arial" w:cs="Arial"/>
          <w:color w:val="000000" w:themeColor="text1"/>
        </w:rPr>
        <w:t xml:space="preserve"> cette crise </w:t>
      </w:r>
      <w:r>
        <w:rPr>
          <w:rFonts w:ascii="Arial" w:hAnsi="Arial" w:cs="Arial"/>
          <w:color w:val="000000" w:themeColor="text1"/>
        </w:rPr>
        <w:t xml:space="preserve">de la production </w:t>
      </w:r>
      <w:r w:rsidR="00674426">
        <w:rPr>
          <w:rFonts w:ascii="Arial" w:hAnsi="Arial" w:cs="Arial"/>
          <w:color w:val="000000" w:themeColor="text1"/>
        </w:rPr>
        <w:t>d</w:t>
      </w:r>
      <w:r>
        <w:rPr>
          <w:rFonts w:ascii="Arial" w:hAnsi="Arial" w:cs="Arial"/>
          <w:color w:val="000000" w:themeColor="text1"/>
        </w:rPr>
        <w:t>e</w:t>
      </w:r>
      <w:r w:rsidR="00674426">
        <w:rPr>
          <w:rFonts w:ascii="Arial" w:hAnsi="Arial" w:cs="Arial"/>
          <w:color w:val="000000" w:themeColor="text1"/>
        </w:rPr>
        <w:t xml:space="preserve"> logement</w:t>
      </w:r>
      <w:r>
        <w:rPr>
          <w:rFonts w:ascii="Arial" w:hAnsi="Arial" w:cs="Arial"/>
          <w:color w:val="000000" w:themeColor="text1"/>
        </w:rPr>
        <w:t>s</w:t>
      </w:r>
      <w:r w:rsidR="00674426">
        <w:rPr>
          <w:rFonts w:ascii="Arial" w:hAnsi="Arial" w:cs="Arial"/>
          <w:color w:val="000000" w:themeColor="text1"/>
        </w:rPr>
        <w:t xml:space="preserve"> neuf</w:t>
      </w:r>
      <w:r>
        <w:rPr>
          <w:rFonts w:ascii="Arial" w:hAnsi="Arial" w:cs="Arial"/>
          <w:color w:val="000000" w:themeColor="text1"/>
        </w:rPr>
        <w:t>s</w:t>
      </w:r>
      <w:r w:rsidR="00674426">
        <w:rPr>
          <w:rFonts w:ascii="Arial" w:hAnsi="Arial" w:cs="Arial"/>
          <w:color w:val="000000" w:themeColor="text1"/>
        </w:rPr>
        <w:t xml:space="preserve"> </w:t>
      </w:r>
      <w:r>
        <w:rPr>
          <w:rFonts w:ascii="Arial" w:hAnsi="Arial" w:cs="Arial"/>
          <w:color w:val="000000" w:themeColor="text1"/>
        </w:rPr>
        <w:t>procède d’une combinaison de facteurs négatifs</w:t>
      </w:r>
      <w:r w:rsidR="00674426">
        <w:rPr>
          <w:rFonts w:ascii="Arial" w:hAnsi="Arial" w:cs="Arial"/>
          <w:color w:val="000000" w:themeColor="text1"/>
        </w:rPr>
        <w:t> :</w:t>
      </w:r>
    </w:p>
    <w:p w14:paraId="0AE09552" w14:textId="789892D1" w:rsidR="00674426" w:rsidRDefault="00DB2AEC" w:rsidP="00674426">
      <w:pPr>
        <w:pStyle w:val="Paragraphedeliste"/>
        <w:numPr>
          <w:ilvl w:val="0"/>
          <w:numId w:val="37"/>
        </w:numPr>
        <w:spacing w:after="120" w:line="360" w:lineRule="auto"/>
        <w:jc w:val="both"/>
        <w:rPr>
          <w:rFonts w:ascii="Arial" w:hAnsi="Arial" w:cs="Arial"/>
          <w:color w:val="000000" w:themeColor="text1"/>
        </w:rPr>
      </w:pPr>
      <w:r>
        <w:rPr>
          <w:rFonts w:ascii="Arial" w:hAnsi="Arial" w:cs="Arial"/>
          <w:color w:val="000000" w:themeColor="text1"/>
        </w:rPr>
        <w:t>la</w:t>
      </w:r>
      <w:r w:rsidR="00674426">
        <w:rPr>
          <w:rFonts w:ascii="Arial" w:hAnsi="Arial" w:cs="Arial"/>
          <w:color w:val="000000" w:themeColor="text1"/>
        </w:rPr>
        <w:t xml:space="preserve"> dégradation de l’activité du marché du crédit, </w:t>
      </w:r>
      <w:r>
        <w:rPr>
          <w:rFonts w:ascii="Arial" w:hAnsi="Arial" w:cs="Arial"/>
          <w:color w:val="000000" w:themeColor="text1"/>
        </w:rPr>
        <w:t xml:space="preserve">détaillée </w:t>
      </w:r>
      <w:r w:rsidR="00674426">
        <w:rPr>
          <w:rFonts w:ascii="Arial" w:hAnsi="Arial" w:cs="Arial"/>
          <w:color w:val="000000" w:themeColor="text1"/>
        </w:rPr>
        <w:t>précédemment</w:t>
      </w:r>
      <w:r>
        <w:rPr>
          <w:rFonts w:ascii="Arial" w:hAnsi="Arial" w:cs="Arial"/>
          <w:color w:val="000000" w:themeColor="text1"/>
        </w:rPr>
        <w:t> </w:t>
      </w:r>
      <w:r w:rsidR="00674426">
        <w:rPr>
          <w:rFonts w:ascii="Arial" w:hAnsi="Arial" w:cs="Arial"/>
          <w:color w:val="000000" w:themeColor="text1"/>
        </w:rPr>
        <w:t>;</w:t>
      </w:r>
    </w:p>
    <w:p w14:paraId="64CD1340" w14:textId="4E0C2542" w:rsidR="00674426" w:rsidRDefault="00DB2AEC" w:rsidP="00674426">
      <w:pPr>
        <w:pStyle w:val="Paragraphedeliste"/>
        <w:numPr>
          <w:ilvl w:val="0"/>
          <w:numId w:val="37"/>
        </w:numPr>
        <w:spacing w:after="120" w:line="360" w:lineRule="auto"/>
        <w:jc w:val="both"/>
        <w:rPr>
          <w:rFonts w:ascii="Arial" w:hAnsi="Arial" w:cs="Arial"/>
          <w:color w:val="000000" w:themeColor="text1"/>
        </w:rPr>
      </w:pPr>
      <w:r>
        <w:rPr>
          <w:rFonts w:ascii="Arial" w:hAnsi="Arial" w:cs="Arial"/>
          <w:color w:val="000000" w:themeColor="text1"/>
        </w:rPr>
        <w:t>l’</w:t>
      </w:r>
      <w:r w:rsidR="00674426">
        <w:rPr>
          <w:rFonts w:ascii="Arial" w:hAnsi="Arial" w:cs="Arial"/>
          <w:color w:val="000000" w:themeColor="text1"/>
        </w:rPr>
        <w:t xml:space="preserve">inflation des prix immobiliers due à l’augmentation des prix du foncier, </w:t>
      </w:r>
      <w:r>
        <w:rPr>
          <w:rFonts w:ascii="Arial" w:hAnsi="Arial" w:cs="Arial"/>
          <w:color w:val="000000" w:themeColor="text1"/>
        </w:rPr>
        <w:t xml:space="preserve">à </w:t>
      </w:r>
      <w:r w:rsidR="00674426">
        <w:rPr>
          <w:rFonts w:ascii="Arial" w:hAnsi="Arial" w:cs="Arial"/>
          <w:color w:val="000000" w:themeColor="text1"/>
        </w:rPr>
        <w:t>l’envolée des prix des matériaux en 2021 et 2022, ainsi qu</w:t>
      </w:r>
      <w:r>
        <w:rPr>
          <w:rFonts w:ascii="Arial" w:hAnsi="Arial" w:cs="Arial"/>
          <w:color w:val="000000" w:themeColor="text1"/>
        </w:rPr>
        <w:t>’à</w:t>
      </w:r>
      <w:r w:rsidR="00674426">
        <w:rPr>
          <w:rFonts w:ascii="Arial" w:hAnsi="Arial" w:cs="Arial"/>
          <w:color w:val="000000" w:themeColor="text1"/>
        </w:rPr>
        <w:t xml:space="preserve"> la mise en place de la RE2020 depuis le 1</w:t>
      </w:r>
      <w:r w:rsidR="00674426" w:rsidRPr="00960207">
        <w:rPr>
          <w:rFonts w:ascii="Arial" w:hAnsi="Arial" w:cs="Arial"/>
          <w:color w:val="000000" w:themeColor="text1"/>
          <w:vertAlign w:val="superscript"/>
        </w:rPr>
        <w:t>er</w:t>
      </w:r>
      <w:r w:rsidR="00674426">
        <w:rPr>
          <w:rFonts w:ascii="Arial" w:hAnsi="Arial" w:cs="Arial"/>
          <w:color w:val="000000" w:themeColor="text1"/>
        </w:rPr>
        <w:t xml:space="preserve"> janvier 2022</w:t>
      </w:r>
      <w:r>
        <w:rPr>
          <w:rFonts w:ascii="Arial" w:hAnsi="Arial" w:cs="Arial"/>
          <w:color w:val="000000" w:themeColor="text1"/>
        </w:rPr>
        <w:t xml:space="preserve"> (et à la multiplication des nouvelles normes et règles)</w:t>
      </w:r>
      <w:r w:rsidR="00674426">
        <w:rPr>
          <w:rFonts w:ascii="Arial" w:hAnsi="Arial" w:cs="Arial"/>
          <w:color w:val="000000" w:themeColor="text1"/>
        </w:rPr>
        <w:t> ;</w:t>
      </w:r>
    </w:p>
    <w:p w14:paraId="0834129F" w14:textId="2AB94E05" w:rsidR="00DB2AEC" w:rsidRDefault="00DB2AEC" w:rsidP="00674426">
      <w:pPr>
        <w:pStyle w:val="Paragraphedeliste"/>
        <w:numPr>
          <w:ilvl w:val="0"/>
          <w:numId w:val="37"/>
        </w:numPr>
        <w:spacing w:after="120" w:line="360" w:lineRule="auto"/>
        <w:jc w:val="both"/>
        <w:rPr>
          <w:rFonts w:ascii="Arial" w:hAnsi="Arial" w:cs="Arial"/>
          <w:color w:val="000000" w:themeColor="text1"/>
        </w:rPr>
      </w:pPr>
      <w:proofErr w:type="gramStart"/>
      <w:r>
        <w:rPr>
          <w:rFonts w:ascii="Arial" w:hAnsi="Arial" w:cs="Arial"/>
          <w:color w:val="000000" w:themeColor="text1"/>
        </w:rPr>
        <w:t>la</w:t>
      </w:r>
      <w:proofErr w:type="gramEnd"/>
      <w:r w:rsidR="00674426">
        <w:rPr>
          <w:rFonts w:ascii="Arial" w:hAnsi="Arial" w:cs="Arial"/>
          <w:color w:val="000000" w:themeColor="text1"/>
        </w:rPr>
        <w:t xml:space="preserve"> non </w:t>
      </w:r>
      <w:r>
        <w:rPr>
          <w:rFonts w:ascii="Arial" w:hAnsi="Arial" w:cs="Arial"/>
          <w:color w:val="000000" w:themeColor="text1"/>
        </w:rPr>
        <w:t>revalorisation</w:t>
      </w:r>
      <w:r w:rsidR="00674426">
        <w:rPr>
          <w:rFonts w:ascii="Arial" w:hAnsi="Arial" w:cs="Arial"/>
          <w:color w:val="000000" w:themeColor="text1"/>
        </w:rPr>
        <w:t xml:space="preserve"> des aides aux logements</w:t>
      </w:r>
      <w:r>
        <w:rPr>
          <w:rFonts w:ascii="Arial" w:hAnsi="Arial" w:cs="Arial"/>
          <w:color w:val="000000" w:themeColor="text1"/>
        </w:rPr>
        <w:t> ;</w:t>
      </w:r>
    </w:p>
    <w:p w14:paraId="2A685B63" w14:textId="29797E0C" w:rsidR="00674426" w:rsidRPr="003F72C1" w:rsidRDefault="00DB2AEC" w:rsidP="00674426">
      <w:pPr>
        <w:pStyle w:val="Paragraphedeliste"/>
        <w:numPr>
          <w:ilvl w:val="0"/>
          <w:numId w:val="37"/>
        </w:numPr>
        <w:spacing w:after="120" w:line="360" w:lineRule="auto"/>
        <w:jc w:val="both"/>
        <w:rPr>
          <w:rFonts w:ascii="Arial" w:hAnsi="Arial" w:cs="Arial"/>
          <w:color w:val="000000" w:themeColor="text1"/>
        </w:rPr>
      </w:pPr>
      <w:r>
        <w:rPr>
          <w:rFonts w:ascii="Arial" w:hAnsi="Arial" w:cs="Arial"/>
          <w:color w:val="000000" w:themeColor="text1"/>
        </w:rPr>
        <w:t>un contexte moins favorable à se projeter sur</w:t>
      </w:r>
      <w:r w:rsidR="005B7FEF">
        <w:rPr>
          <w:rFonts w:ascii="Arial" w:hAnsi="Arial" w:cs="Arial"/>
          <w:color w:val="000000" w:themeColor="text1"/>
        </w:rPr>
        <w:t xml:space="preserve"> le</w:t>
      </w:r>
      <w:r>
        <w:rPr>
          <w:rFonts w:ascii="Arial" w:hAnsi="Arial" w:cs="Arial"/>
          <w:color w:val="000000" w:themeColor="text1"/>
        </w:rPr>
        <w:t xml:space="preserve"> long terme, donc à investir</w:t>
      </w:r>
      <w:r w:rsidR="00674426">
        <w:rPr>
          <w:rFonts w:ascii="Arial" w:hAnsi="Arial" w:cs="Arial"/>
          <w:color w:val="000000" w:themeColor="text1"/>
        </w:rPr>
        <w:t>.</w:t>
      </w:r>
    </w:p>
    <w:p w14:paraId="27611CA9" w14:textId="77777777" w:rsidR="00BD53DD" w:rsidRPr="006B1FA8" w:rsidRDefault="00BD53DD" w:rsidP="00BD53DD">
      <w:pPr>
        <w:spacing w:before="240" w:after="120" w:line="360" w:lineRule="auto"/>
        <w:jc w:val="both"/>
        <w:rPr>
          <w:rFonts w:ascii="Arial" w:hAnsi="Arial" w:cs="Arial"/>
          <w:color w:val="000000" w:themeColor="text1"/>
        </w:rPr>
      </w:pPr>
      <w:r w:rsidRPr="006B1FA8">
        <w:rPr>
          <w:rFonts w:ascii="Arial" w:hAnsi="Arial" w:cs="Arial"/>
          <w:i/>
          <w:color w:val="000000" w:themeColor="text1"/>
        </w:rPr>
        <w:lastRenderedPageBreak/>
        <w:t>1.2.2 Le non résidentiel neuf</w:t>
      </w:r>
    </w:p>
    <w:p w14:paraId="68F9CDE5" w14:textId="06A0A200" w:rsidR="00674426" w:rsidRDefault="00753A7D" w:rsidP="00674426">
      <w:pPr>
        <w:spacing w:after="120" w:line="360" w:lineRule="auto"/>
        <w:jc w:val="both"/>
        <w:rPr>
          <w:rFonts w:ascii="Arial" w:hAnsi="Arial" w:cs="Arial"/>
          <w:color w:val="000000" w:themeColor="text1"/>
        </w:rPr>
      </w:pPr>
      <w:r>
        <w:rPr>
          <w:rFonts w:ascii="Arial" w:hAnsi="Arial" w:cs="Arial"/>
          <w:color w:val="000000" w:themeColor="text1"/>
        </w:rPr>
        <w:t>Partant d’une situation moins favorable que le logement</w:t>
      </w:r>
      <w:r w:rsidR="00BD7E86">
        <w:rPr>
          <w:rFonts w:ascii="Arial" w:hAnsi="Arial" w:cs="Arial"/>
          <w:color w:val="000000" w:themeColor="text1"/>
        </w:rPr>
        <w:t xml:space="preserve"> neuf</w:t>
      </w:r>
      <w:r>
        <w:rPr>
          <w:rFonts w:ascii="Arial" w:hAnsi="Arial" w:cs="Arial"/>
          <w:color w:val="000000" w:themeColor="text1"/>
        </w:rPr>
        <w:t>, l</w:t>
      </w:r>
      <w:r w:rsidR="00674426" w:rsidRPr="006B1FA8">
        <w:rPr>
          <w:rFonts w:ascii="Arial" w:hAnsi="Arial" w:cs="Arial"/>
          <w:color w:val="000000" w:themeColor="text1"/>
        </w:rPr>
        <w:t xml:space="preserve">e non résidentiel </w:t>
      </w:r>
      <w:r w:rsidR="00674426">
        <w:rPr>
          <w:rFonts w:ascii="Arial" w:hAnsi="Arial" w:cs="Arial"/>
          <w:color w:val="000000" w:themeColor="text1"/>
        </w:rPr>
        <w:t xml:space="preserve">neuf </w:t>
      </w:r>
      <w:r>
        <w:rPr>
          <w:rFonts w:ascii="Arial" w:hAnsi="Arial" w:cs="Arial"/>
          <w:color w:val="000000" w:themeColor="text1"/>
        </w:rPr>
        <w:t>ralentit nettement mais reste, en 2023, en territoire positif, avec une hausse de 0,4 % de l</w:t>
      </w:r>
      <w:r w:rsidR="00674426">
        <w:rPr>
          <w:rFonts w:ascii="Arial" w:hAnsi="Arial" w:cs="Arial"/>
          <w:color w:val="000000" w:themeColor="text1"/>
        </w:rPr>
        <w:t>a production,</w:t>
      </w:r>
      <w:r w:rsidR="00674426" w:rsidRPr="006B1FA8">
        <w:rPr>
          <w:rFonts w:ascii="Arial" w:hAnsi="Arial" w:cs="Arial"/>
          <w:color w:val="000000" w:themeColor="text1"/>
        </w:rPr>
        <w:t xml:space="preserve"> à prix constants</w:t>
      </w:r>
      <w:r w:rsidR="00674426">
        <w:rPr>
          <w:rFonts w:ascii="Arial" w:hAnsi="Arial" w:cs="Arial"/>
          <w:color w:val="000000" w:themeColor="text1"/>
        </w:rPr>
        <w:t xml:space="preserve"> </w:t>
      </w:r>
      <w:r w:rsidR="00674426" w:rsidRPr="006B1FA8">
        <w:rPr>
          <w:rFonts w:ascii="Arial" w:hAnsi="Arial" w:cs="Arial"/>
          <w:color w:val="000000" w:themeColor="text1"/>
        </w:rPr>
        <w:t xml:space="preserve">(cf. graphique </w:t>
      </w:r>
      <w:r w:rsidR="00674426">
        <w:rPr>
          <w:rFonts w:ascii="Arial" w:hAnsi="Arial" w:cs="Arial"/>
          <w:color w:val="000000" w:themeColor="text1"/>
        </w:rPr>
        <w:t>5</w:t>
      </w:r>
      <w:r w:rsidR="00674426" w:rsidRPr="006B1FA8">
        <w:rPr>
          <w:rFonts w:ascii="Arial" w:hAnsi="Arial" w:cs="Arial"/>
          <w:color w:val="000000" w:themeColor="text1"/>
        </w:rPr>
        <w:t>)</w:t>
      </w:r>
      <w:r w:rsidR="00674426">
        <w:rPr>
          <w:rFonts w:ascii="Arial" w:hAnsi="Arial" w:cs="Arial"/>
          <w:color w:val="000000" w:themeColor="text1"/>
        </w:rPr>
        <w:t>.</w:t>
      </w:r>
    </w:p>
    <w:p w14:paraId="525CB3EA" w14:textId="44391FF2" w:rsidR="00674426" w:rsidRPr="006B1FA8" w:rsidRDefault="00753A7D" w:rsidP="00674426">
      <w:pPr>
        <w:spacing w:after="120" w:line="360" w:lineRule="auto"/>
        <w:jc w:val="both"/>
        <w:rPr>
          <w:rFonts w:ascii="Arial" w:hAnsi="Arial" w:cs="Arial"/>
          <w:color w:val="000000" w:themeColor="text1"/>
        </w:rPr>
      </w:pPr>
      <w:r>
        <w:rPr>
          <w:rFonts w:ascii="Arial" w:hAnsi="Arial" w:cs="Arial"/>
          <w:color w:val="000000" w:themeColor="text1"/>
        </w:rPr>
        <w:t>En revanche, l</w:t>
      </w:r>
      <w:r w:rsidR="00674426" w:rsidRPr="006B1FA8">
        <w:rPr>
          <w:rFonts w:ascii="Arial" w:hAnsi="Arial" w:cs="Arial"/>
          <w:color w:val="000000" w:themeColor="text1"/>
        </w:rPr>
        <w:t xml:space="preserve">es surfaces mises en chantier de bâtiments non résidentiels </w:t>
      </w:r>
      <w:r w:rsidR="00674426">
        <w:rPr>
          <w:rFonts w:ascii="Arial" w:hAnsi="Arial" w:cs="Arial"/>
          <w:color w:val="000000" w:themeColor="text1"/>
        </w:rPr>
        <w:t>reculent</w:t>
      </w:r>
      <w:r w:rsidR="00674426" w:rsidRPr="006B1FA8">
        <w:rPr>
          <w:rFonts w:ascii="Arial" w:hAnsi="Arial" w:cs="Arial"/>
          <w:color w:val="000000" w:themeColor="text1"/>
        </w:rPr>
        <w:t xml:space="preserve"> de </w:t>
      </w:r>
      <w:r w:rsidR="00674426">
        <w:rPr>
          <w:rFonts w:ascii="Arial" w:hAnsi="Arial" w:cs="Arial"/>
          <w:color w:val="000000" w:themeColor="text1"/>
        </w:rPr>
        <w:t>13,7 % pour s’établir à</w:t>
      </w:r>
      <w:r w:rsidR="00674426" w:rsidRPr="006B1FA8">
        <w:rPr>
          <w:rFonts w:ascii="Arial" w:hAnsi="Arial" w:cs="Arial"/>
          <w:color w:val="000000" w:themeColor="text1"/>
        </w:rPr>
        <w:t xml:space="preserve"> 2</w:t>
      </w:r>
      <w:r w:rsidR="00674426">
        <w:rPr>
          <w:rFonts w:ascii="Arial" w:hAnsi="Arial" w:cs="Arial"/>
          <w:color w:val="000000" w:themeColor="text1"/>
        </w:rPr>
        <w:t>2,7</w:t>
      </w:r>
      <w:r w:rsidR="00674426" w:rsidRPr="006B1FA8">
        <w:rPr>
          <w:rFonts w:ascii="Arial" w:hAnsi="Arial" w:cs="Arial"/>
          <w:color w:val="000000" w:themeColor="text1"/>
        </w:rPr>
        <w:t xml:space="preserve"> millions de m² </w:t>
      </w:r>
      <w:r w:rsidR="00674426">
        <w:rPr>
          <w:rFonts w:ascii="Arial" w:hAnsi="Arial" w:cs="Arial"/>
          <w:color w:val="000000" w:themeColor="text1"/>
        </w:rPr>
        <w:t xml:space="preserve">commencés en 2023, </w:t>
      </w:r>
      <w:r w:rsidR="00674426" w:rsidRPr="00FC1F24">
        <w:rPr>
          <w:rFonts w:ascii="Arial" w:hAnsi="Arial" w:cs="Arial"/>
          <w:color w:val="000000" w:themeColor="text1"/>
        </w:rPr>
        <w:t>soit un point bas historique depuis l’origine de la série en 1986</w:t>
      </w:r>
      <w:r w:rsidR="00674426">
        <w:rPr>
          <w:rFonts w:ascii="Arial" w:hAnsi="Arial" w:cs="Arial"/>
          <w:color w:val="000000" w:themeColor="text1"/>
        </w:rPr>
        <w:t>.</w:t>
      </w:r>
      <w:r w:rsidR="00674426" w:rsidRPr="00FC1F24">
        <w:rPr>
          <w:rFonts w:ascii="Arial" w:hAnsi="Arial" w:cs="Arial"/>
          <w:color w:val="000000" w:themeColor="text1"/>
        </w:rPr>
        <w:t xml:space="preserve"> </w:t>
      </w:r>
      <w:r>
        <w:rPr>
          <w:rFonts w:ascii="Arial" w:hAnsi="Arial" w:cs="Arial"/>
          <w:color w:val="000000" w:themeColor="text1"/>
        </w:rPr>
        <w:t>L</w:t>
      </w:r>
      <w:r w:rsidR="00674426" w:rsidRPr="006B1FA8">
        <w:rPr>
          <w:rFonts w:ascii="Arial" w:hAnsi="Arial" w:cs="Arial"/>
          <w:color w:val="000000" w:themeColor="text1"/>
        </w:rPr>
        <w:t xml:space="preserve">es </w:t>
      </w:r>
      <w:r w:rsidR="00674426">
        <w:rPr>
          <w:rFonts w:ascii="Arial" w:hAnsi="Arial" w:cs="Arial"/>
          <w:color w:val="000000" w:themeColor="text1"/>
        </w:rPr>
        <w:t>commerces</w:t>
      </w:r>
      <w:r w:rsidR="00674426" w:rsidRPr="006B1FA8">
        <w:rPr>
          <w:rFonts w:ascii="Arial" w:hAnsi="Arial" w:cs="Arial"/>
          <w:color w:val="000000" w:themeColor="text1"/>
        </w:rPr>
        <w:t xml:space="preserve"> (</w:t>
      </w:r>
      <w:r w:rsidR="00674426">
        <w:rPr>
          <w:rFonts w:ascii="Arial" w:hAnsi="Arial" w:cs="Arial"/>
          <w:color w:val="000000" w:themeColor="text1"/>
        </w:rPr>
        <w:t>-19,0 %</w:t>
      </w:r>
      <w:r w:rsidR="00674426" w:rsidRPr="006B1FA8">
        <w:rPr>
          <w:rFonts w:ascii="Arial" w:hAnsi="Arial" w:cs="Arial"/>
          <w:color w:val="000000" w:themeColor="text1"/>
        </w:rPr>
        <w:t>)</w:t>
      </w:r>
      <w:r w:rsidR="00674426">
        <w:rPr>
          <w:rFonts w:ascii="Arial" w:hAnsi="Arial" w:cs="Arial"/>
          <w:color w:val="000000" w:themeColor="text1"/>
        </w:rPr>
        <w:t>,</w:t>
      </w:r>
      <w:r w:rsidR="00674426" w:rsidRPr="006B1FA8">
        <w:rPr>
          <w:rFonts w:ascii="Arial" w:hAnsi="Arial" w:cs="Arial"/>
          <w:color w:val="000000" w:themeColor="text1"/>
        </w:rPr>
        <w:t xml:space="preserve"> les </w:t>
      </w:r>
      <w:r w:rsidR="00674426">
        <w:rPr>
          <w:rFonts w:ascii="Arial" w:hAnsi="Arial" w:cs="Arial"/>
          <w:color w:val="000000" w:themeColor="text1"/>
        </w:rPr>
        <w:t>bâtiments industriels et assimilés</w:t>
      </w:r>
      <w:r w:rsidR="00674426" w:rsidRPr="006B1FA8">
        <w:rPr>
          <w:rFonts w:ascii="Arial" w:hAnsi="Arial" w:cs="Arial"/>
          <w:color w:val="000000" w:themeColor="text1"/>
        </w:rPr>
        <w:t xml:space="preserve"> (</w:t>
      </w:r>
      <w:r w:rsidR="00674426">
        <w:rPr>
          <w:rFonts w:ascii="Arial" w:hAnsi="Arial" w:cs="Arial"/>
          <w:color w:val="000000" w:themeColor="text1"/>
        </w:rPr>
        <w:t>-</w:t>
      </w:r>
      <w:r w:rsidR="00674426" w:rsidRPr="006B1FA8">
        <w:rPr>
          <w:rFonts w:ascii="Arial" w:hAnsi="Arial" w:cs="Arial"/>
          <w:color w:val="000000" w:themeColor="text1"/>
        </w:rPr>
        <w:t>1</w:t>
      </w:r>
      <w:r w:rsidR="00674426">
        <w:rPr>
          <w:rFonts w:ascii="Arial" w:hAnsi="Arial" w:cs="Arial"/>
          <w:color w:val="000000" w:themeColor="text1"/>
        </w:rPr>
        <w:t>7</w:t>
      </w:r>
      <w:r w:rsidR="00674426" w:rsidRPr="006B1FA8">
        <w:rPr>
          <w:rFonts w:ascii="Arial" w:hAnsi="Arial" w:cs="Arial"/>
          <w:color w:val="000000" w:themeColor="text1"/>
        </w:rPr>
        <w:t>,</w:t>
      </w:r>
      <w:r w:rsidR="00674426">
        <w:rPr>
          <w:rFonts w:ascii="Arial" w:hAnsi="Arial" w:cs="Arial"/>
          <w:color w:val="000000" w:themeColor="text1"/>
        </w:rPr>
        <w:t>8 %</w:t>
      </w:r>
      <w:r w:rsidR="00674426" w:rsidRPr="006B1FA8">
        <w:rPr>
          <w:rFonts w:ascii="Arial" w:hAnsi="Arial" w:cs="Arial"/>
          <w:color w:val="000000" w:themeColor="text1"/>
        </w:rPr>
        <w:t>)</w:t>
      </w:r>
      <w:r w:rsidR="00674426">
        <w:rPr>
          <w:rFonts w:ascii="Arial" w:hAnsi="Arial" w:cs="Arial"/>
          <w:color w:val="000000" w:themeColor="text1"/>
        </w:rPr>
        <w:t>, les bureaux (-12,8 %) ainsi que les bâtiments agricoles (-12,7 %)</w:t>
      </w:r>
      <w:r w:rsidR="00674426" w:rsidRPr="006B1FA8">
        <w:rPr>
          <w:rFonts w:ascii="Arial" w:hAnsi="Arial" w:cs="Arial"/>
          <w:color w:val="000000" w:themeColor="text1"/>
        </w:rPr>
        <w:t xml:space="preserve"> </w:t>
      </w:r>
      <w:r>
        <w:rPr>
          <w:rFonts w:ascii="Arial" w:hAnsi="Arial" w:cs="Arial"/>
          <w:color w:val="000000" w:themeColor="text1"/>
        </w:rPr>
        <w:t>tirent fortement vers le bas</w:t>
      </w:r>
      <w:r w:rsidR="005B7FEF">
        <w:rPr>
          <w:rFonts w:ascii="Arial" w:hAnsi="Arial" w:cs="Arial"/>
          <w:color w:val="000000" w:themeColor="text1"/>
        </w:rPr>
        <w:t> </w:t>
      </w:r>
      <w:r>
        <w:rPr>
          <w:rFonts w:ascii="Arial" w:hAnsi="Arial" w:cs="Arial"/>
          <w:color w:val="000000" w:themeColor="text1"/>
        </w:rPr>
        <w:t xml:space="preserve">; </w:t>
      </w:r>
      <w:r w:rsidR="00674426">
        <w:rPr>
          <w:rFonts w:ascii="Arial" w:hAnsi="Arial" w:cs="Arial"/>
          <w:color w:val="000000" w:themeColor="text1"/>
        </w:rPr>
        <w:t>les hébergements hôteliers</w:t>
      </w:r>
      <w:r w:rsidR="00674426" w:rsidRPr="006B1FA8">
        <w:rPr>
          <w:rFonts w:ascii="Arial" w:hAnsi="Arial" w:cs="Arial"/>
          <w:color w:val="000000" w:themeColor="text1"/>
        </w:rPr>
        <w:t xml:space="preserve"> </w:t>
      </w:r>
      <w:r w:rsidR="00674426">
        <w:rPr>
          <w:rFonts w:ascii="Arial" w:hAnsi="Arial" w:cs="Arial"/>
          <w:color w:val="000000" w:themeColor="text1"/>
        </w:rPr>
        <w:t xml:space="preserve">et les bâtiments administratifs </w:t>
      </w:r>
      <w:r>
        <w:rPr>
          <w:rFonts w:ascii="Arial" w:hAnsi="Arial" w:cs="Arial"/>
          <w:color w:val="000000" w:themeColor="text1"/>
        </w:rPr>
        <w:t>se replient moins vite</w:t>
      </w:r>
      <w:r w:rsidR="00674426">
        <w:rPr>
          <w:rFonts w:ascii="Arial" w:hAnsi="Arial" w:cs="Arial"/>
          <w:color w:val="000000" w:themeColor="text1"/>
        </w:rPr>
        <w:t>, à respectivement -5,4 % et -1,5 %.</w:t>
      </w:r>
    </w:p>
    <w:p w14:paraId="496EFD29" w14:textId="42A312C2" w:rsidR="00674426" w:rsidRDefault="00674426" w:rsidP="00674426">
      <w:pPr>
        <w:spacing w:after="120" w:line="360" w:lineRule="auto"/>
        <w:jc w:val="both"/>
        <w:rPr>
          <w:rFonts w:ascii="Arial" w:hAnsi="Arial" w:cs="Arial"/>
          <w:color w:val="000000" w:themeColor="text1"/>
        </w:rPr>
      </w:pPr>
      <w:r w:rsidRPr="006B1FA8">
        <w:rPr>
          <w:rFonts w:ascii="Arial" w:hAnsi="Arial" w:cs="Arial"/>
          <w:color w:val="000000" w:themeColor="text1"/>
        </w:rPr>
        <w:t xml:space="preserve">Quant aux surfaces autorisées, elles </w:t>
      </w:r>
      <w:r w:rsidR="00753A7D">
        <w:rPr>
          <w:rFonts w:ascii="Arial" w:hAnsi="Arial" w:cs="Arial"/>
          <w:color w:val="000000" w:themeColor="text1"/>
        </w:rPr>
        <w:t>baissent de</w:t>
      </w:r>
      <w:r w:rsidR="00BD7E86">
        <w:rPr>
          <w:rFonts w:ascii="Arial" w:hAnsi="Arial" w:cs="Arial"/>
          <w:color w:val="000000" w:themeColor="text1"/>
        </w:rPr>
        <w:t xml:space="preserve"> </w:t>
      </w:r>
      <w:r>
        <w:rPr>
          <w:rFonts w:ascii="Arial" w:hAnsi="Arial" w:cs="Arial"/>
          <w:color w:val="000000" w:themeColor="text1"/>
        </w:rPr>
        <w:t>3,6 %</w:t>
      </w:r>
      <w:r w:rsidRPr="006B1FA8">
        <w:rPr>
          <w:rFonts w:ascii="Arial" w:hAnsi="Arial" w:cs="Arial"/>
          <w:color w:val="000000" w:themeColor="text1"/>
        </w:rPr>
        <w:t xml:space="preserve">. À l’exception des </w:t>
      </w:r>
      <w:r>
        <w:rPr>
          <w:rFonts w:ascii="Arial" w:hAnsi="Arial" w:cs="Arial"/>
          <w:color w:val="000000" w:themeColor="text1"/>
        </w:rPr>
        <w:t>bâtiments administratifs</w:t>
      </w:r>
      <w:r w:rsidRPr="006B1FA8">
        <w:rPr>
          <w:rFonts w:ascii="Arial" w:hAnsi="Arial" w:cs="Arial"/>
          <w:color w:val="000000" w:themeColor="text1"/>
        </w:rPr>
        <w:t xml:space="preserve"> (</w:t>
      </w:r>
      <w:r>
        <w:rPr>
          <w:rFonts w:ascii="Arial" w:hAnsi="Arial" w:cs="Arial"/>
          <w:color w:val="000000" w:themeColor="text1"/>
        </w:rPr>
        <w:t>+5,9 %</w:t>
      </w:r>
      <w:r w:rsidRPr="006B1FA8">
        <w:rPr>
          <w:rFonts w:ascii="Arial" w:hAnsi="Arial" w:cs="Arial"/>
          <w:color w:val="000000" w:themeColor="text1"/>
        </w:rPr>
        <w:t xml:space="preserve">), </w:t>
      </w:r>
      <w:r>
        <w:rPr>
          <w:rFonts w:ascii="Arial" w:hAnsi="Arial" w:cs="Arial"/>
          <w:color w:val="000000" w:themeColor="text1"/>
        </w:rPr>
        <w:t>tous les segments</w:t>
      </w:r>
      <w:r w:rsidRPr="006B1FA8">
        <w:rPr>
          <w:rFonts w:ascii="Arial" w:hAnsi="Arial" w:cs="Arial"/>
          <w:color w:val="000000" w:themeColor="text1"/>
        </w:rPr>
        <w:t xml:space="preserve"> ressortent en </w:t>
      </w:r>
      <w:r>
        <w:rPr>
          <w:rFonts w:ascii="Arial" w:hAnsi="Arial" w:cs="Arial"/>
          <w:color w:val="000000" w:themeColor="text1"/>
        </w:rPr>
        <w:t>territoire négatif</w:t>
      </w:r>
      <w:r w:rsidRPr="006B1FA8">
        <w:rPr>
          <w:rFonts w:ascii="Arial" w:hAnsi="Arial" w:cs="Arial"/>
          <w:color w:val="000000" w:themeColor="text1"/>
        </w:rPr>
        <w:t xml:space="preserve">. </w:t>
      </w:r>
      <w:r>
        <w:rPr>
          <w:rFonts w:ascii="Arial" w:hAnsi="Arial" w:cs="Arial"/>
          <w:color w:val="000000" w:themeColor="text1"/>
        </w:rPr>
        <w:t>L</w:t>
      </w:r>
      <w:r w:rsidRPr="006B1FA8">
        <w:rPr>
          <w:rFonts w:ascii="Arial" w:hAnsi="Arial" w:cs="Arial"/>
          <w:color w:val="000000" w:themeColor="text1"/>
        </w:rPr>
        <w:t xml:space="preserve">es </w:t>
      </w:r>
      <w:r>
        <w:rPr>
          <w:rFonts w:ascii="Arial" w:hAnsi="Arial" w:cs="Arial"/>
          <w:color w:val="000000" w:themeColor="text1"/>
        </w:rPr>
        <w:t xml:space="preserve">bureaux enregistrent la </w:t>
      </w:r>
      <w:r w:rsidR="00753A7D">
        <w:rPr>
          <w:rFonts w:ascii="Arial" w:hAnsi="Arial" w:cs="Arial"/>
          <w:color w:val="000000" w:themeColor="text1"/>
        </w:rPr>
        <w:t>chut</w:t>
      </w:r>
      <w:r>
        <w:rPr>
          <w:rFonts w:ascii="Arial" w:hAnsi="Arial" w:cs="Arial"/>
          <w:color w:val="000000" w:themeColor="text1"/>
        </w:rPr>
        <w:t xml:space="preserve">e la plus forte </w:t>
      </w:r>
      <w:r w:rsidRPr="006B1FA8">
        <w:rPr>
          <w:rFonts w:ascii="Arial" w:hAnsi="Arial" w:cs="Arial"/>
          <w:color w:val="000000" w:themeColor="text1"/>
        </w:rPr>
        <w:t>(</w:t>
      </w:r>
      <w:r>
        <w:rPr>
          <w:rFonts w:ascii="Arial" w:hAnsi="Arial" w:cs="Arial"/>
          <w:color w:val="000000" w:themeColor="text1"/>
        </w:rPr>
        <w:t>-17,3</w:t>
      </w:r>
      <w:r w:rsidR="00753A7D">
        <w:t> </w:t>
      </w:r>
      <w:r>
        <w:rPr>
          <w:rFonts w:ascii="Arial" w:hAnsi="Arial" w:cs="Arial"/>
          <w:color w:val="000000" w:themeColor="text1"/>
        </w:rPr>
        <w:t>%</w:t>
      </w:r>
      <w:r w:rsidRPr="006B1FA8">
        <w:rPr>
          <w:rFonts w:ascii="Arial" w:hAnsi="Arial" w:cs="Arial"/>
          <w:color w:val="000000" w:themeColor="text1"/>
        </w:rPr>
        <w:t xml:space="preserve">), </w:t>
      </w:r>
      <w:r>
        <w:rPr>
          <w:rFonts w:ascii="Arial" w:hAnsi="Arial" w:cs="Arial"/>
          <w:color w:val="000000" w:themeColor="text1"/>
        </w:rPr>
        <w:t>devant les commerces</w:t>
      </w:r>
      <w:r w:rsidRPr="006B1FA8">
        <w:rPr>
          <w:rFonts w:ascii="Arial" w:hAnsi="Arial" w:cs="Arial"/>
          <w:color w:val="000000" w:themeColor="text1"/>
        </w:rPr>
        <w:t xml:space="preserve"> (</w:t>
      </w:r>
      <w:r>
        <w:rPr>
          <w:rFonts w:ascii="Arial" w:hAnsi="Arial" w:cs="Arial"/>
          <w:color w:val="000000" w:themeColor="text1"/>
        </w:rPr>
        <w:t>-9,5 %</w:t>
      </w:r>
      <w:r w:rsidRPr="006B1FA8">
        <w:rPr>
          <w:rFonts w:ascii="Arial" w:hAnsi="Arial" w:cs="Arial"/>
          <w:color w:val="000000" w:themeColor="text1"/>
        </w:rPr>
        <w:t xml:space="preserve">). </w:t>
      </w:r>
      <w:r>
        <w:rPr>
          <w:rFonts w:ascii="Arial" w:hAnsi="Arial" w:cs="Arial"/>
          <w:color w:val="000000" w:themeColor="text1"/>
        </w:rPr>
        <w:t>Les</w:t>
      </w:r>
      <w:r w:rsidRPr="006B1FA8">
        <w:rPr>
          <w:rFonts w:ascii="Arial" w:hAnsi="Arial" w:cs="Arial"/>
          <w:color w:val="000000" w:themeColor="text1"/>
        </w:rPr>
        <w:t xml:space="preserve"> </w:t>
      </w:r>
      <w:r w:rsidR="00753A7D">
        <w:rPr>
          <w:rFonts w:ascii="Arial" w:hAnsi="Arial" w:cs="Arial"/>
          <w:color w:val="000000" w:themeColor="text1"/>
        </w:rPr>
        <w:t>baisse</w:t>
      </w:r>
      <w:r w:rsidR="00BD7E86">
        <w:rPr>
          <w:rFonts w:ascii="Arial" w:hAnsi="Arial" w:cs="Arial"/>
          <w:color w:val="000000" w:themeColor="text1"/>
        </w:rPr>
        <w:t>s</w:t>
      </w:r>
      <w:r w:rsidRPr="006B1FA8">
        <w:rPr>
          <w:rFonts w:ascii="Arial" w:hAnsi="Arial" w:cs="Arial"/>
          <w:color w:val="000000" w:themeColor="text1"/>
        </w:rPr>
        <w:t xml:space="preserve"> s’avère</w:t>
      </w:r>
      <w:r>
        <w:rPr>
          <w:rFonts w:ascii="Arial" w:hAnsi="Arial" w:cs="Arial"/>
          <w:color w:val="000000" w:themeColor="text1"/>
        </w:rPr>
        <w:t>nt</w:t>
      </w:r>
      <w:r w:rsidRPr="006B1FA8">
        <w:rPr>
          <w:rFonts w:ascii="Arial" w:hAnsi="Arial" w:cs="Arial"/>
          <w:color w:val="000000" w:themeColor="text1"/>
        </w:rPr>
        <w:t xml:space="preserve"> moins </w:t>
      </w:r>
      <w:r>
        <w:rPr>
          <w:rFonts w:ascii="Arial" w:hAnsi="Arial" w:cs="Arial"/>
          <w:color w:val="000000" w:themeColor="text1"/>
        </w:rPr>
        <w:t>important</w:t>
      </w:r>
      <w:r w:rsidR="00753A7D">
        <w:rPr>
          <w:rFonts w:ascii="Arial" w:hAnsi="Arial" w:cs="Arial"/>
          <w:color w:val="000000" w:themeColor="text1"/>
        </w:rPr>
        <w:t>e</w:t>
      </w:r>
      <w:r>
        <w:rPr>
          <w:rFonts w:ascii="Arial" w:hAnsi="Arial" w:cs="Arial"/>
          <w:color w:val="000000" w:themeColor="text1"/>
        </w:rPr>
        <w:t>s</w:t>
      </w:r>
      <w:r w:rsidRPr="006B1FA8">
        <w:rPr>
          <w:rFonts w:ascii="Arial" w:hAnsi="Arial" w:cs="Arial"/>
          <w:color w:val="000000" w:themeColor="text1"/>
        </w:rPr>
        <w:t xml:space="preserve"> pour les bâtiments</w:t>
      </w:r>
      <w:r>
        <w:rPr>
          <w:rFonts w:ascii="Arial" w:hAnsi="Arial" w:cs="Arial"/>
          <w:color w:val="000000" w:themeColor="text1"/>
        </w:rPr>
        <w:t xml:space="preserve"> agricoles</w:t>
      </w:r>
      <w:r w:rsidRPr="006B1FA8">
        <w:rPr>
          <w:rFonts w:ascii="Arial" w:hAnsi="Arial" w:cs="Arial"/>
          <w:color w:val="000000" w:themeColor="text1"/>
        </w:rPr>
        <w:t xml:space="preserve"> (</w:t>
      </w:r>
      <w:r>
        <w:rPr>
          <w:rFonts w:ascii="Arial" w:hAnsi="Arial" w:cs="Arial"/>
          <w:color w:val="000000" w:themeColor="text1"/>
        </w:rPr>
        <w:t>-3,5 %</w:t>
      </w:r>
      <w:r w:rsidRPr="006B1FA8">
        <w:rPr>
          <w:rFonts w:ascii="Arial" w:hAnsi="Arial" w:cs="Arial"/>
          <w:color w:val="000000" w:themeColor="text1"/>
        </w:rPr>
        <w:t>)</w:t>
      </w:r>
      <w:r>
        <w:rPr>
          <w:rFonts w:ascii="Arial" w:hAnsi="Arial" w:cs="Arial"/>
          <w:color w:val="000000" w:themeColor="text1"/>
        </w:rPr>
        <w:t xml:space="preserve"> et</w:t>
      </w:r>
      <w:r w:rsidRPr="006B1FA8">
        <w:rPr>
          <w:rFonts w:ascii="Arial" w:hAnsi="Arial" w:cs="Arial"/>
          <w:color w:val="000000" w:themeColor="text1"/>
        </w:rPr>
        <w:t xml:space="preserve"> les </w:t>
      </w:r>
      <w:r>
        <w:rPr>
          <w:rFonts w:ascii="Arial" w:hAnsi="Arial" w:cs="Arial"/>
          <w:color w:val="000000" w:themeColor="text1"/>
        </w:rPr>
        <w:t>hébergements hôteliers</w:t>
      </w:r>
      <w:r w:rsidRPr="006B1FA8">
        <w:rPr>
          <w:rFonts w:ascii="Arial" w:hAnsi="Arial" w:cs="Arial"/>
          <w:color w:val="000000" w:themeColor="text1"/>
        </w:rPr>
        <w:t xml:space="preserve"> (</w:t>
      </w:r>
      <w:r>
        <w:rPr>
          <w:rFonts w:ascii="Arial" w:hAnsi="Arial" w:cs="Arial"/>
          <w:color w:val="000000" w:themeColor="text1"/>
        </w:rPr>
        <w:t>-2,5 %</w:t>
      </w:r>
      <w:r w:rsidRPr="006B1FA8">
        <w:rPr>
          <w:rFonts w:ascii="Arial" w:hAnsi="Arial" w:cs="Arial"/>
          <w:color w:val="000000" w:themeColor="text1"/>
        </w:rPr>
        <w:t>)</w:t>
      </w:r>
      <w:r>
        <w:rPr>
          <w:rFonts w:ascii="Arial" w:hAnsi="Arial" w:cs="Arial"/>
          <w:color w:val="000000" w:themeColor="text1"/>
        </w:rPr>
        <w:t>. Enfin, les bâtiments industriels et assimilés se stabilisent peu ou prou (- 0,5 %).</w:t>
      </w:r>
    </w:p>
    <w:p w14:paraId="410F7619" w14:textId="77777777" w:rsidR="00674426" w:rsidRPr="006B1FA8" w:rsidRDefault="00674426" w:rsidP="00674426">
      <w:pPr>
        <w:spacing w:after="0" w:line="360" w:lineRule="auto"/>
        <w:jc w:val="center"/>
        <w:rPr>
          <w:rFonts w:ascii="Arial" w:hAnsi="Arial" w:cs="Arial"/>
          <w:color w:val="000000" w:themeColor="text1"/>
        </w:rPr>
      </w:pPr>
      <w:r w:rsidRPr="006B1FA8">
        <w:rPr>
          <w:rFonts w:ascii="Arial" w:hAnsi="Arial" w:cs="Arial"/>
          <w:color w:val="000000" w:themeColor="text1"/>
        </w:rPr>
        <w:t xml:space="preserve">Graphique </w:t>
      </w:r>
      <w:r>
        <w:rPr>
          <w:rFonts w:ascii="Arial" w:hAnsi="Arial" w:cs="Arial"/>
          <w:color w:val="000000" w:themeColor="text1"/>
        </w:rPr>
        <w:t>5</w:t>
      </w:r>
      <w:r w:rsidRPr="006B1FA8">
        <w:rPr>
          <w:rFonts w:ascii="Arial" w:hAnsi="Arial" w:cs="Arial"/>
          <w:color w:val="000000" w:themeColor="text1"/>
        </w:rPr>
        <w:t xml:space="preserve"> – </w:t>
      </w:r>
      <w:r w:rsidRPr="006B1FA8">
        <w:rPr>
          <w:rFonts w:ascii="Arial" w:hAnsi="Arial" w:cs="Arial"/>
          <w:b/>
          <w:color w:val="000000" w:themeColor="text1"/>
        </w:rPr>
        <w:t xml:space="preserve">Surfaces autorisées, surfaces commencées </w:t>
      </w:r>
      <w:r w:rsidRPr="006B1FA8">
        <w:rPr>
          <w:rFonts w:ascii="Arial" w:hAnsi="Arial" w:cs="Arial"/>
          <w:color w:val="000000" w:themeColor="text1"/>
        </w:rPr>
        <w:t xml:space="preserve">(en date de prise en compte) </w:t>
      </w:r>
      <w:r w:rsidRPr="006B1FA8">
        <w:rPr>
          <w:rFonts w:ascii="Arial" w:hAnsi="Arial" w:cs="Arial"/>
          <w:b/>
          <w:color w:val="000000" w:themeColor="text1"/>
        </w:rPr>
        <w:t>et production de bâtiments non résidentiels neufs</w:t>
      </w:r>
      <w:r w:rsidRPr="006B1FA8">
        <w:rPr>
          <w:rFonts w:ascii="Arial" w:hAnsi="Arial" w:cs="Arial"/>
          <w:color w:val="000000" w:themeColor="text1"/>
        </w:rPr>
        <w:t xml:space="preserve"> </w:t>
      </w:r>
    </w:p>
    <w:p w14:paraId="0932708E" w14:textId="77777777" w:rsidR="00674426" w:rsidRPr="006B1FA8" w:rsidRDefault="00674426" w:rsidP="00674426">
      <w:pPr>
        <w:spacing w:after="60" w:line="240" w:lineRule="auto"/>
        <w:jc w:val="center"/>
        <w:rPr>
          <w:rFonts w:ascii="Arial" w:hAnsi="Arial" w:cs="Arial"/>
          <w:color w:val="000000" w:themeColor="text1"/>
        </w:rPr>
      </w:pPr>
      <w:r w:rsidRPr="00047347">
        <w:rPr>
          <w:rFonts w:ascii="Arial" w:hAnsi="Arial" w:cs="Arial"/>
          <w:noProof/>
          <w:color w:val="000000" w:themeColor="text1"/>
        </w:rPr>
        <w:drawing>
          <wp:inline distT="0" distB="0" distL="0" distR="0" wp14:anchorId="08F2FF78" wp14:editId="6D3F4CF9">
            <wp:extent cx="5760720" cy="3079115"/>
            <wp:effectExtent l="0" t="0" r="0" b="6985"/>
            <wp:docPr id="7241699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079115"/>
                    </a:xfrm>
                    <a:prstGeom prst="rect">
                      <a:avLst/>
                    </a:prstGeom>
                    <a:noFill/>
                    <a:ln>
                      <a:noFill/>
                    </a:ln>
                  </pic:spPr>
                </pic:pic>
              </a:graphicData>
            </a:graphic>
          </wp:inline>
        </w:drawing>
      </w:r>
    </w:p>
    <w:p w14:paraId="6F14B865" w14:textId="497BDC47" w:rsidR="00674426" w:rsidRPr="006B1FA8" w:rsidRDefault="00674426" w:rsidP="00674426">
      <w:pPr>
        <w:spacing w:after="120" w:line="360" w:lineRule="auto"/>
        <w:jc w:val="center"/>
        <w:rPr>
          <w:rFonts w:ascii="Arial" w:hAnsi="Arial" w:cs="Arial"/>
          <w:i/>
          <w:color w:val="000000" w:themeColor="text1"/>
          <w:sz w:val="20"/>
        </w:rPr>
      </w:pPr>
      <w:r w:rsidRPr="006B1FA8">
        <w:rPr>
          <w:rFonts w:ascii="Arial" w:hAnsi="Arial" w:cs="Arial"/>
          <w:i/>
          <w:color w:val="000000" w:themeColor="text1"/>
          <w:sz w:val="20"/>
        </w:rPr>
        <w:t>Source</w:t>
      </w:r>
      <w:r w:rsidR="005B7FEF">
        <w:rPr>
          <w:rFonts w:ascii="Arial" w:hAnsi="Arial" w:cs="Arial"/>
          <w:i/>
          <w:color w:val="000000" w:themeColor="text1"/>
          <w:sz w:val="20"/>
        </w:rPr>
        <w:t> </w:t>
      </w:r>
      <w:r w:rsidRPr="006B1FA8">
        <w:rPr>
          <w:rFonts w:ascii="Arial" w:hAnsi="Arial" w:cs="Arial"/>
          <w:i/>
          <w:color w:val="000000" w:themeColor="text1"/>
          <w:sz w:val="20"/>
        </w:rPr>
        <w:t>: FFB à partir de MTE</w:t>
      </w:r>
      <w:r w:rsidR="00232018">
        <w:rPr>
          <w:rFonts w:ascii="Arial" w:hAnsi="Arial" w:cs="Arial"/>
          <w:i/>
          <w:color w:val="000000" w:themeColor="text1"/>
          <w:sz w:val="20"/>
        </w:rPr>
        <w:t>CT</w:t>
      </w:r>
      <w:r w:rsidRPr="006B1FA8">
        <w:rPr>
          <w:rFonts w:ascii="Arial" w:hAnsi="Arial" w:cs="Arial"/>
          <w:i/>
          <w:color w:val="000000" w:themeColor="text1"/>
          <w:sz w:val="20"/>
        </w:rPr>
        <w:t>/CGDD/SDES, Sit@del2</w:t>
      </w:r>
    </w:p>
    <w:p w14:paraId="1417797A" w14:textId="77777777" w:rsidR="00BD53DD" w:rsidRPr="006B1FA8" w:rsidRDefault="00BD53DD" w:rsidP="00BD53DD">
      <w:pPr>
        <w:spacing w:before="240" w:after="120" w:line="360" w:lineRule="auto"/>
        <w:jc w:val="both"/>
        <w:rPr>
          <w:rFonts w:ascii="Arial" w:hAnsi="Arial" w:cs="Arial"/>
          <w:i/>
          <w:color w:val="000000" w:themeColor="text1"/>
        </w:rPr>
      </w:pPr>
      <w:r w:rsidRPr="006B1FA8">
        <w:rPr>
          <w:rFonts w:ascii="Arial" w:hAnsi="Arial" w:cs="Arial"/>
          <w:i/>
          <w:color w:val="000000" w:themeColor="text1"/>
        </w:rPr>
        <w:t>1.2.3 L’amélioration-entretien</w:t>
      </w:r>
    </w:p>
    <w:p w14:paraId="0ADE32D0" w14:textId="13BD5F10" w:rsidR="00674426" w:rsidRPr="006B1FA8" w:rsidRDefault="00674426" w:rsidP="00674426">
      <w:pPr>
        <w:spacing w:after="120" w:line="360" w:lineRule="auto"/>
        <w:jc w:val="both"/>
        <w:rPr>
          <w:rFonts w:ascii="Arial" w:hAnsi="Arial" w:cs="Arial"/>
          <w:color w:val="000000" w:themeColor="text1"/>
        </w:rPr>
      </w:pPr>
      <w:r w:rsidRPr="006B1FA8">
        <w:rPr>
          <w:rFonts w:ascii="Arial" w:hAnsi="Arial" w:cs="Arial"/>
          <w:color w:val="000000" w:themeColor="text1"/>
        </w:rPr>
        <w:t>En</w:t>
      </w:r>
      <w:r>
        <w:rPr>
          <w:rFonts w:ascii="Arial" w:hAnsi="Arial" w:cs="Arial"/>
          <w:color w:val="000000" w:themeColor="text1"/>
        </w:rPr>
        <w:t xml:space="preserve"> </w:t>
      </w:r>
      <w:r w:rsidRPr="006B1FA8">
        <w:rPr>
          <w:rFonts w:ascii="Arial" w:hAnsi="Arial" w:cs="Arial"/>
          <w:color w:val="000000" w:themeColor="text1"/>
        </w:rPr>
        <w:t>202</w:t>
      </w:r>
      <w:r>
        <w:rPr>
          <w:rFonts w:ascii="Arial" w:hAnsi="Arial" w:cs="Arial"/>
          <w:color w:val="000000" w:themeColor="text1"/>
        </w:rPr>
        <w:t>3</w:t>
      </w:r>
      <w:r w:rsidRPr="006B1FA8">
        <w:rPr>
          <w:rFonts w:ascii="Arial" w:hAnsi="Arial" w:cs="Arial"/>
          <w:color w:val="000000" w:themeColor="text1"/>
        </w:rPr>
        <w:t xml:space="preserve">, </w:t>
      </w:r>
      <w:r>
        <w:rPr>
          <w:rFonts w:ascii="Arial" w:hAnsi="Arial" w:cs="Arial"/>
          <w:color w:val="000000" w:themeColor="text1"/>
        </w:rPr>
        <w:t>l’</w:t>
      </w:r>
      <w:r w:rsidRPr="006B1FA8">
        <w:rPr>
          <w:rFonts w:ascii="Arial" w:hAnsi="Arial" w:cs="Arial"/>
          <w:color w:val="000000" w:themeColor="text1"/>
        </w:rPr>
        <w:t>amélioration-entretien</w:t>
      </w:r>
      <w:r>
        <w:rPr>
          <w:rFonts w:ascii="Arial" w:hAnsi="Arial" w:cs="Arial"/>
          <w:color w:val="000000" w:themeColor="text1"/>
        </w:rPr>
        <w:t xml:space="preserve"> ressort comme le seul grand segment en hausse</w:t>
      </w:r>
      <w:r w:rsidR="00753A7D">
        <w:rPr>
          <w:rFonts w:ascii="Arial" w:hAnsi="Arial" w:cs="Arial"/>
          <w:color w:val="000000" w:themeColor="text1"/>
        </w:rPr>
        <w:t xml:space="preserve"> d’act</w:t>
      </w:r>
      <w:r w:rsidR="005B7FEF">
        <w:rPr>
          <w:rFonts w:ascii="Arial" w:hAnsi="Arial" w:cs="Arial"/>
          <w:color w:val="000000" w:themeColor="text1"/>
        </w:rPr>
        <w:t>i</w:t>
      </w:r>
      <w:r w:rsidR="00753A7D">
        <w:rPr>
          <w:rFonts w:ascii="Arial" w:hAnsi="Arial" w:cs="Arial"/>
          <w:color w:val="000000" w:themeColor="text1"/>
        </w:rPr>
        <w:t>vité</w:t>
      </w:r>
      <w:r>
        <w:rPr>
          <w:rFonts w:ascii="Arial" w:hAnsi="Arial" w:cs="Arial"/>
          <w:color w:val="000000" w:themeColor="text1"/>
        </w:rPr>
        <w:t>, à +</w:t>
      </w:r>
      <w:r w:rsidRPr="006B1FA8">
        <w:rPr>
          <w:rFonts w:ascii="Arial" w:hAnsi="Arial" w:cs="Arial"/>
          <w:color w:val="000000" w:themeColor="text1"/>
        </w:rPr>
        <w:t>2,</w:t>
      </w:r>
      <w:r>
        <w:rPr>
          <w:rFonts w:ascii="Arial" w:hAnsi="Arial" w:cs="Arial"/>
          <w:color w:val="000000" w:themeColor="text1"/>
        </w:rPr>
        <w:t>6 %</w:t>
      </w:r>
      <w:r w:rsidRPr="006B1FA8">
        <w:rPr>
          <w:rFonts w:ascii="Arial" w:hAnsi="Arial" w:cs="Arial"/>
          <w:color w:val="000000" w:themeColor="text1"/>
        </w:rPr>
        <w:t xml:space="preserve"> à prix constants</w:t>
      </w:r>
      <w:r>
        <w:rPr>
          <w:rFonts w:ascii="Arial" w:hAnsi="Arial" w:cs="Arial"/>
          <w:color w:val="000000" w:themeColor="text1"/>
        </w:rPr>
        <w:t xml:space="preserve">, </w:t>
      </w:r>
      <w:r w:rsidR="00753A7D">
        <w:rPr>
          <w:rFonts w:ascii="Arial" w:hAnsi="Arial" w:cs="Arial"/>
          <w:color w:val="000000" w:themeColor="text1"/>
        </w:rPr>
        <w:t>soit</w:t>
      </w:r>
      <w:r>
        <w:rPr>
          <w:rFonts w:ascii="Arial" w:hAnsi="Arial" w:cs="Arial"/>
          <w:color w:val="000000" w:themeColor="text1"/>
        </w:rPr>
        <w:t xml:space="preserve"> un rythme de croissance légèrement plus élevé qu’en 2022 </w:t>
      </w:r>
      <w:r>
        <w:rPr>
          <w:rFonts w:ascii="Arial" w:hAnsi="Arial" w:cs="Arial"/>
          <w:color w:val="000000" w:themeColor="text1"/>
        </w:rPr>
        <w:lastRenderedPageBreak/>
        <w:t xml:space="preserve">(+2,1 %). Il dépasse même de 2,8 % </w:t>
      </w:r>
      <w:r w:rsidRPr="006B1FA8">
        <w:rPr>
          <w:rFonts w:ascii="Arial" w:hAnsi="Arial" w:cs="Arial"/>
          <w:color w:val="000000" w:themeColor="text1"/>
        </w:rPr>
        <w:t xml:space="preserve">son niveau </w:t>
      </w:r>
      <w:r>
        <w:rPr>
          <w:rFonts w:ascii="Arial" w:hAnsi="Arial" w:cs="Arial"/>
          <w:color w:val="000000" w:themeColor="text1"/>
        </w:rPr>
        <w:t xml:space="preserve">de </w:t>
      </w:r>
      <w:r w:rsidRPr="006B1FA8">
        <w:rPr>
          <w:rFonts w:ascii="Arial" w:hAnsi="Arial" w:cs="Arial"/>
          <w:color w:val="000000" w:themeColor="text1"/>
        </w:rPr>
        <w:t>2019</w:t>
      </w:r>
      <w:r>
        <w:rPr>
          <w:rFonts w:ascii="Arial" w:hAnsi="Arial" w:cs="Arial"/>
          <w:color w:val="000000" w:themeColor="text1"/>
        </w:rPr>
        <w:t>, avant le déclenchement de la crise sanitaire (</w:t>
      </w:r>
      <w:r w:rsidRPr="006B1FA8">
        <w:rPr>
          <w:rFonts w:ascii="Arial" w:hAnsi="Arial" w:cs="Arial"/>
          <w:color w:val="000000" w:themeColor="text1"/>
        </w:rPr>
        <w:t xml:space="preserve">cf. graphique </w:t>
      </w:r>
      <w:r>
        <w:rPr>
          <w:rFonts w:ascii="Arial" w:hAnsi="Arial" w:cs="Arial"/>
          <w:color w:val="000000" w:themeColor="text1"/>
        </w:rPr>
        <w:t>6</w:t>
      </w:r>
      <w:r w:rsidRPr="006B1FA8">
        <w:rPr>
          <w:rFonts w:ascii="Arial" w:hAnsi="Arial" w:cs="Arial"/>
          <w:color w:val="000000" w:themeColor="text1"/>
        </w:rPr>
        <w:t xml:space="preserve">). </w:t>
      </w:r>
    </w:p>
    <w:p w14:paraId="2D844BDB" w14:textId="77777777" w:rsidR="00674426" w:rsidRPr="001379B6" w:rsidRDefault="00674426" w:rsidP="00674426">
      <w:pPr>
        <w:spacing w:after="0" w:line="360" w:lineRule="auto"/>
        <w:jc w:val="center"/>
        <w:rPr>
          <w:rFonts w:ascii="Arial" w:hAnsi="Arial" w:cs="Arial"/>
          <w:b/>
        </w:rPr>
      </w:pPr>
      <w:r>
        <w:rPr>
          <w:rFonts w:ascii="Arial" w:hAnsi="Arial" w:cs="Arial"/>
        </w:rPr>
        <w:t xml:space="preserve">Graphique 6 – </w:t>
      </w:r>
      <w:r w:rsidRPr="001379B6">
        <w:rPr>
          <w:rFonts w:ascii="Arial" w:hAnsi="Arial" w:cs="Arial"/>
          <w:b/>
        </w:rPr>
        <w:t xml:space="preserve">Activité en amélioration-entretien </w:t>
      </w:r>
    </w:p>
    <w:p w14:paraId="475ED2DF" w14:textId="77777777" w:rsidR="00674426" w:rsidRDefault="00674426" w:rsidP="00674426">
      <w:pPr>
        <w:spacing w:after="60" w:line="240" w:lineRule="auto"/>
        <w:jc w:val="center"/>
        <w:rPr>
          <w:rFonts w:ascii="Arial" w:hAnsi="Arial" w:cs="Arial"/>
        </w:rPr>
      </w:pPr>
      <w:r w:rsidRPr="00047347">
        <w:rPr>
          <w:rFonts w:ascii="Arial" w:hAnsi="Arial" w:cs="Arial"/>
          <w:noProof/>
        </w:rPr>
        <w:drawing>
          <wp:inline distT="0" distB="0" distL="0" distR="0" wp14:anchorId="1024034B" wp14:editId="509F1FEC">
            <wp:extent cx="5760720" cy="3079115"/>
            <wp:effectExtent l="0" t="0" r="0" b="6985"/>
            <wp:docPr id="15781746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079115"/>
                    </a:xfrm>
                    <a:prstGeom prst="rect">
                      <a:avLst/>
                    </a:prstGeom>
                    <a:noFill/>
                    <a:ln>
                      <a:noFill/>
                    </a:ln>
                  </pic:spPr>
                </pic:pic>
              </a:graphicData>
            </a:graphic>
          </wp:inline>
        </w:drawing>
      </w:r>
    </w:p>
    <w:p w14:paraId="1BCC8556" w14:textId="75A40148" w:rsidR="00674426" w:rsidRPr="00634CA4" w:rsidRDefault="00674426" w:rsidP="00674426">
      <w:pPr>
        <w:spacing w:after="120" w:line="360" w:lineRule="auto"/>
        <w:jc w:val="center"/>
        <w:rPr>
          <w:rFonts w:ascii="Arial" w:hAnsi="Arial" w:cs="Arial"/>
          <w:i/>
          <w:sz w:val="20"/>
          <w:szCs w:val="20"/>
        </w:rPr>
      </w:pPr>
      <w:r>
        <w:rPr>
          <w:rFonts w:ascii="Arial" w:hAnsi="Arial" w:cs="Arial"/>
          <w:i/>
          <w:sz w:val="20"/>
          <w:szCs w:val="20"/>
        </w:rPr>
        <w:t>Source</w:t>
      </w:r>
      <w:r w:rsidR="005B7FEF">
        <w:rPr>
          <w:rFonts w:ascii="Arial" w:hAnsi="Arial" w:cs="Arial"/>
          <w:i/>
          <w:sz w:val="20"/>
          <w:szCs w:val="20"/>
        </w:rPr>
        <w:t> </w:t>
      </w:r>
      <w:r>
        <w:rPr>
          <w:rFonts w:ascii="Arial" w:hAnsi="Arial" w:cs="Arial"/>
          <w:i/>
          <w:sz w:val="20"/>
          <w:szCs w:val="20"/>
        </w:rPr>
        <w:t xml:space="preserve">: FFB à partir de Réseau des </w:t>
      </w:r>
      <w:proofErr w:type="spellStart"/>
      <w:r>
        <w:rPr>
          <w:rFonts w:ascii="Arial" w:hAnsi="Arial" w:cs="Arial"/>
          <w:i/>
          <w:sz w:val="20"/>
          <w:szCs w:val="20"/>
        </w:rPr>
        <w:t>C</w:t>
      </w:r>
      <w:r w:rsidR="00232018">
        <w:rPr>
          <w:rFonts w:ascii="Arial" w:hAnsi="Arial" w:cs="Arial"/>
          <w:i/>
          <w:sz w:val="20"/>
          <w:szCs w:val="20"/>
        </w:rPr>
        <w:t>erc</w:t>
      </w:r>
      <w:proofErr w:type="spellEnd"/>
    </w:p>
    <w:p w14:paraId="156EFDD5" w14:textId="1406CE83" w:rsidR="00E32D73" w:rsidRPr="0060536A" w:rsidRDefault="00E32D73" w:rsidP="00E32D73">
      <w:pPr>
        <w:spacing w:after="120" w:line="360" w:lineRule="auto"/>
        <w:jc w:val="both"/>
        <w:rPr>
          <w:rFonts w:ascii="Arial" w:hAnsi="Arial" w:cs="Arial"/>
          <w:color w:val="000000" w:themeColor="text1"/>
        </w:rPr>
      </w:pPr>
      <w:r w:rsidRPr="009D2F1C">
        <w:rPr>
          <w:rFonts w:ascii="Arial" w:hAnsi="Arial" w:cs="Arial"/>
          <w:color w:val="000000" w:themeColor="text1"/>
        </w:rPr>
        <w:t xml:space="preserve">La rénovation énergétique </w:t>
      </w:r>
      <w:r w:rsidR="00753A7D">
        <w:rPr>
          <w:rFonts w:ascii="Arial" w:hAnsi="Arial" w:cs="Arial"/>
          <w:color w:val="000000" w:themeColor="text1"/>
        </w:rPr>
        <w:t>progress</w:t>
      </w:r>
      <w:r>
        <w:rPr>
          <w:rFonts w:ascii="Arial" w:hAnsi="Arial" w:cs="Arial"/>
          <w:color w:val="000000" w:themeColor="text1"/>
        </w:rPr>
        <w:t>e de</w:t>
      </w:r>
      <w:r w:rsidRPr="009D2F1C">
        <w:rPr>
          <w:rFonts w:ascii="Arial" w:hAnsi="Arial" w:cs="Arial"/>
          <w:color w:val="000000" w:themeColor="text1"/>
        </w:rPr>
        <w:t xml:space="preserve"> </w:t>
      </w:r>
      <w:r>
        <w:rPr>
          <w:rFonts w:ascii="Arial" w:hAnsi="Arial" w:cs="Arial"/>
          <w:color w:val="000000" w:themeColor="text1"/>
        </w:rPr>
        <w:t>3</w:t>
      </w:r>
      <w:r w:rsidRPr="009D2F1C">
        <w:rPr>
          <w:rFonts w:ascii="Arial" w:hAnsi="Arial" w:cs="Arial"/>
          <w:color w:val="000000" w:themeColor="text1"/>
        </w:rPr>
        <w:t>,</w:t>
      </w:r>
      <w:r>
        <w:rPr>
          <w:rFonts w:ascii="Arial" w:hAnsi="Arial" w:cs="Arial"/>
          <w:color w:val="000000" w:themeColor="text1"/>
        </w:rPr>
        <w:t>0</w:t>
      </w:r>
      <w:r w:rsidRPr="009D2F1C">
        <w:rPr>
          <w:rFonts w:ascii="Arial" w:hAnsi="Arial" w:cs="Arial"/>
          <w:color w:val="000000" w:themeColor="text1"/>
        </w:rPr>
        <w:t> % en volume. Elle s’avère principalement portée par le non résidentiel (+</w:t>
      </w:r>
      <w:r>
        <w:rPr>
          <w:rFonts w:ascii="Arial" w:hAnsi="Arial" w:cs="Arial"/>
          <w:color w:val="000000" w:themeColor="text1"/>
        </w:rPr>
        <w:t>4</w:t>
      </w:r>
      <w:r w:rsidRPr="009D2F1C">
        <w:rPr>
          <w:rFonts w:ascii="Arial" w:hAnsi="Arial" w:cs="Arial"/>
          <w:color w:val="000000" w:themeColor="text1"/>
        </w:rPr>
        <w:t>,</w:t>
      </w:r>
      <w:r>
        <w:rPr>
          <w:rFonts w:ascii="Arial" w:hAnsi="Arial" w:cs="Arial"/>
          <w:color w:val="000000" w:themeColor="text1"/>
        </w:rPr>
        <w:t>1</w:t>
      </w:r>
      <w:r w:rsidRPr="009D2F1C">
        <w:rPr>
          <w:rFonts w:ascii="Arial" w:hAnsi="Arial" w:cs="Arial"/>
          <w:color w:val="000000" w:themeColor="text1"/>
        </w:rPr>
        <w:t xml:space="preserve"> %) </w:t>
      </w:r>
      <w:r>
        <w:rPr>
          <w:rFonts w:ascii="Arial" w:hAnsi="Arial" w:cs="Arial"/>
          <w:color w:val="000000" w:themeColor="text1"/>
        </w:rPr>
        <w:t>même si</w:t>
      </w:r>
      <w:r w:rsidRPr="009D2F1C">
        <w:rPr>
          <w:rFonts w:ascii="Arial" w:hAnsi="Arial" w:cs="Arial"/>
          <w:color w:val="000000" w:themeColor="text1"/>
        </w:rPr>
        <w:t xml:space="preserve"> l’activité en logement accélère</w:t>
      </w:r>
      <w:r>
        <w:rPr>
          <w:rFonts w:ascii="Arial" w:hAnsi="Arial" w:cs="Arial"/>
          <w:color w:val="000000" w:themeColor="text1"/>
        </w:rPr>
        <w:t xml:space="preserve"> de 0,8 </w:t>
      </w:r>
      <w:proofErr w:type="spellStart"/>
      <w:r w:rsidR="007E3137">
        <w:rPr>
          <w:rFonts w:ascii="Arial" w:hAnsi="Arial" w:cs="Arial"/>
          <w:color w:val="000000" w:themeColor="text1"/>
        </w:rPr>
        <w:t>ppct</w:t>
      </w:r>
      <w:proofErr w:type="spellEnd"/>
      <w:r>
        <w:rPr>
          <w:rFonts w:ascii="Arial" w:hAnsi="Arial" w:cs="Arial"/>
          <w:color w:val="000000" w:themeColor="text1"/>
        </w:rPr>
        <w:t xml:space="preserve"> à</w:t>
      </w:r>
      <w:r w:rsidRPr="009D2F1C">
        <w:rPr>
          <w:rFonts w:ascii="Arial" w:hAnsi="Arial" w:cs="Arial"/>
          <w:color w:val="000000" w:themeColor="text1"/>
        </w:rPr>
        <w:t xml:space="preserve"> </w:t>
      </w:r>
      <w:r w:rsidRPr="0060536A">
        <w:rPr>
          <w:rFonts w:ascii="Arial" w:hAnsi="Arial" w:cs="Arial"/>
          <w:color w:val="000000" w:themeColor="text1"/>
        </w:rPr>
        <w:t>+2,6 %</w:t>
      </w:r>
      <w:r>
        <w:rPr>
          <w:rFonts w:ascii="Arial" w:hAnsi="Arial" w:cs="Arial"/>
          <w:color w:val="000000" w:themeColor="text1"/>
        </w:rPr>
        <w:t xml:space="preserve">, grâce à la dynamique </w:t>
      </w:r>
      <w:r w:rsidR="00810C15">
        <w:rPr>
          <w:rFonts w:ascii="Arial" w:hAnsi="Arial" w:cs="Arial"/>
          <w:color w:val="000000" w:themeColor="text1"/>
        </w:rPr>
        <w:t xml:space="preserve">confirmée </w:t>
      </w:r>
      <w:r>
        <w:rPr>
          <w:rFonts w:ascii="Arial" w:hAnsi="Arial" w:cs="Arial"/>
          <w:color w:val="000000" w:themeColor="text1"/>
        </w:rPr>
        <w:t xml:space="preserve">du dispositif </w:t>
      </w:r>
      <w:proofErr w:type="spellStart"/>
      <w:r>
        <w:rPr>
          <w:rFonts w:ascii="Arial" w:hAnsi="Arial" w:cs="Arial"/>
          <w:color w:val="000000" w:themeColor="text1"/>
        </w:rPr>
        <w:t>MaPrimeRénov</w:t>
      </w:r>
      <w:proofErr w:type="spellEnd"/>
      <w:r>
        <w:rPr>
          <w:rFonts w:ascii="Arial" w:hAnsi="Arial" w:cs="Arial"/>
          <w:color w:val="000000" w:themeColor="text1"/>
        </w:rPr>
        <w:t>’</w:t>
      </w:r>
      <w:r w:rsidRPr="0060536A">
        <w:rPr>
          <w:rFonts w:ascii="Arial" w:hAnsi="Arial" w:cs="Arial"/>
          <w:color w:val="000000" w:themeColor="text1"/>
        </w:rPr>
        <w:t>.</w:t>
      </w:r>
    </w:p>
    <w:p w14:paraId="5E0C8B73" w14:textId="24AF5CA0" w:rsidR="00E32D73" w:rsidRDefault="00E32D73" w:rsidP="00E32D73">
      <w:pPr>
        <w:spacing w:after="120" w:line="360" w:lineRule="auto"/>
        <w:jc w:val="both"/>
        <w:rPr>
          <w:rFonts w:ascii="Arial" w:hAnsi="Arial" w:cs="Arial"/>
          <w:color w:val="000000" w:themeColor="text1"/>
        </w:rPr>
      </w:pPr>
      <w:r w:rsidRPr="0060536A">
        <w:rPr>
          <w:rFonts w:ascii="Arial" w:hAnsi="Arial" w:cs="Arial"/>
          <w:color w:val="000000" w:themeColor="text1"/>
        </w:rPr>
        <w:t xml:space="preserve">Quant aux travaux non énergétiques, ils </w:t>
      </w:r>
      <w:r w:rsidR="00810C15">
        <w:rPr>
          <w:rFonts w:ascii="Arial" w:hAnsi="Arial" w:cs="Arial"/>
          <w:color w:val="000000" w:themeColor="text1"/>
        </w:rPr>
        <w:t>ressort</w:t>
      </w:r>
      <w:r>
        <w:rPr>
          <w:rFonts w:ascii="Arial" w:hAnsi="Arial" w:cs="Arial"/>
          <w:color w:val="000000" w:themeColor="text1"/>
        </w:rPr>
        <w:t>ent également bien orientés, avec des progressions respectives</w:t>
      </w:r>
      <w:r w:rsidRPr="0060536A">
        <w:rPr>
          <w:rFonts w:ascii="Arial" w:hAnsi="Arial" w:cs="Arial"/>
          <w:color w:val="000000" w:themeColor="text1"/>
        </w:rPr>
        <w:t xml:space="preserve"> de 2,6 %</w:t>
      </w:r>
      <w:r>
        <w:rPr>
          <w:rFonts w:ascii="Arial" w:hAnsi="Arial" w:cs="Arial"/>
          <w:color w:val="000000" w:themeColor="text1"/>
        </w:rPr>
        <w:t xml:space="preserve"> et 2,3 %</w:t>
      </w:r>
      <w:r w:rsidRPr="0060536A">
        <w:rPr>
          <w:rFonts w:ascii="Arial" w:hAnsi="Arial" w:cs="Arial"/>
          <w:color w:val="000000" w:themeColor="text1"/>
        </w:rPr>
        <w:t xml:space="preserve"> </w:t>
      </w:r>
      <w:r>
        <w:rPr>
          <w:rFonts w:ascii="Arial" w:hAnsi="Arial" w:cs="Arial"/>
          <w:color w:val="000000" w:themeColor="text1"/>
        </w:rPr>
        <w:t>dans le</w:t>
      </w:r>
      <w:r w:rsidRPr="0060536A">
        <w:rPr>
          <w:rFonts w:ascii="Arial" w:hAnsi="Arial" w:cs="Arial"/>
          <w:color w:val="000000" w:themeColor="text1"/>
        </w:rPr>
        <w:t xml:space="preserve"> non résidentiel et </w:t>
      </w:r>
      <w:r>
        <w:rPr>
          <w:rFonts w:ascii="Arial" w:hAnsi="Arial" w:cs="Arial"/>
          <w:color w:val="000000" w:themeColor="text1"/>
        </w:rPr>
        <w:t>le</w:t>
      </w:r>
      <w:r w:rsidRPr="0060536A">
        <w:rPr>
          <w:rFonts w:ascii="Arial" w:hAnsi="Arial" w:cs="Arial"/>
          <w:color w:val="000000" w:themeColor="text1"/>
        </w:rPr>
        <w:t xml:space="preserve"> logement.</w:t>
      </w:r>
    </w:p>
    <w:p w14:paraId="29962F1C" w14:textId="62891A27" w:rsidR="00BD53DD" w:rsidRPr="00AA1D5A" w:rsidRDefault="00296C03" w:rsidP="00E32D73">
      <w:pPr>
        <w:spacing w:before="240" w:after="120" w:line="360" w:lineRule="auto"/>
        <w:jc w:val="both"/>
        <w:rPr>
          <w:rFonts w:ascii="Arial" w:hAnsi="Arial" w:cs="Arial"/>
          <w:i/>
          <w:color w:val="000000" w:themeColor="text1"/>
        </w:rPr>
      </w:pPr>
      <w:r w:rsidRPr="00AA1D5A">
        <w:rPr>
          <w:rFonts w:ascii="Arial" w:hAnsi="Arial" w:cs="Arial"/>
          <w:i/>
          <w:color w:val="000000" w:themeColor="text1"/>
        </w:rPr>
        <w:t>1</w:t>
      </w:r>
      <w:r w:rsidR="00BD53DD" w:rsidRPr="00AA1D5A">
        <w:rPr>
          <w:rFonts w:ascii="Arial" w:hAnsi="Arial" w:cs="Arial"/>
          <w:i/>
          <w:color w:val="000000" w:themeColor="text1"/>
        </w:rPr>
        <w:t>.2.4 Le bâtiment</w:t>
      </w:r>
    </w:p>
    <w:p w14:paraId="4D53AC85" w14:textId="2FD2178D" w:rsidR="009737CD" w:rsidRDefault="009737CD" w:rsidP="009737CD">
      <w:pPr>
        <w:spacing w:after="120" w:line="360" w:lineRule="auto"/>
        <w:jc w:val="both"/>
        <w:rPr>
          <w:rFonts w:ascii="Arial" w:hAnsi="Arial" w:cs="Arial"/>
          <w:color w:val="000000" w:themeColor="text1"/>
        </w:rPr>
      </w:pPr>
      <w:r>
        <w:rPr>
          <w:rFonts w:ascii="Arial" w:hAnsi="Arial" w:cs="Arial"/>
          <w:color w:val="000000" w:themeColor="text1"/>
        </w:rPr>
        <w:t>M</w:t>
      </w:r>
      <w:r w:rsidRPr="006B1FA8">
        <w:rPr>
          <w:rFonts w:ascii="Arial" w:hAnsi="Arial" w:cs="Arial"/>
          <w:color w:val="000000" w:themeColor="text1"/>
        </w:rPr>
        <w:t xml:space="preserve">algré </w:t>
      </w:r>
      <w:r>
        <w:rPr>
          <w:rFonts w:ascii="Arial" w:hAnsi="Arial" w:cs="Arial"/>
          <w:color w:val="000000" w:themeColor="text1"/>
        </w:rPr>
        <w:t>l’entrée en crise du logement neuf</w:t>
      </w:r>
      <w:r w:rsidRPr="006B1FA8">
        <w:rPr>
          <w:rFonts w:ascii="Arial" w:hAnsi="Arial" w:cs="Arial"/>
          <w:color w:val="000000" w:themeColor="text1"/>
        </w:rPr>
        <w:t xml:space="preserve">, la production bâtiment </w:t>
      </w:r>
      <w:r>
        <w:rPr>
          <w:rFonts w:ascii="Arial" w:hAnsi="Arial" w:cs="Arial"/>
          <w:color w:val="000000" w:themeColor="text1"/>
        </w:rPr>
        <w:t>ne connaît qu’une érosion en 2023, à -0,6 %</w:t>
      </w:r>
      <w:r w:rsidRPr="006B1FA8">
        <w:rPr>
          <w:rFonts w:ascii="Arial" w:hAnsi="Arial" w:cs="Arial"/>
          <w:color w:val="000000" w:themeColor="text1"/>
        </w:rPr>
        <w:t xml:space="preserve"> hors effet prix</w:t>
      </w:r>
      <w:r>
        <w:rPr>
          <w:rFonts w:ascii="Arial" w:hAnsi="Arial" w:cs="Arial"/>
          <w:color w:val="000000" w:themeColor="text1"/>
        </w:rPr>
        <w:t xml:space="preserve"> (cf. graphique 7). De fait, </w:t>
      </w:r>
      <w:r w:rsidR="00810C15">
        <w:rPr>
          <w:rFonts w:ascii="Arial" w:hAnsi="Arial" w:cs="Arial"/>
          <w:color w:val="000000" w:themeColor="text1"/>
        </w:rPr>
        <w:t>en termes macro-économique</w:t>
      </w:r>
      <w:r w:rsidR="00232018">
        <w:rPr>
          <w:rFonts w:ascii="Arial" w:hAnsi="Arial" w:cs="Arial"/>
          <w:color w:val="000000" w:themeColor="text1"/>
        </w:rPr>
        <w:t>s</w:t>
      </w:r>
      <w:r w:rsidR="00810C15">
        <w:rPr>
          <w:rFonts w:ascii="Arial" w:hAnsi="Arial" w:cs="Arial"/>
          <w:color w:val="000000" w:themeColor="text1"/>
        </w:rPr>
        <w:t xml:space="preserve">, </w:t>
      </w:r>
      <w:r>
        <w:rPr>
          <w:rFonts w:ascii="Arial" w:hAnsi="Arial" w:cs="Arial"/>
          <w:color w:val="000000" w:themeColor="text1"/>
        </w:rPr>
        <w:t xml:space="preserve">le bon score en amélioration-entretien </w:t>
      </w:r>
      <w:r w:rsidR="00810C15">
        <w:rPr>
          <w:rFonts w:ascii="Arial" w:hAnsi="Arial" w:cs="Arial"/>
          <w:color w:val="000000" w:themeColor="text1"/>
        </w:rPr>
        <w:t>compense une large part de</w:t>
      </w:r>
      <w:r>
        <w:rPr>
          <w:rFonts w:ascii="Arial" w:hAnsi="Arial" w:cs="Arial"/>
          <w:color w:val="000000" w:themeColor="text1"/>
        </w:rPr>
        <w:t xml:space="preserve"> la chute du neuf (-4,4 %).</w:t>
      </w:r>
    </w:p>
    <w:p w14:paraId="3D84332A" w14:textId="77777777" w:rsidR="00F93F72" w:rsidRDefault="00F93F72">
      <w:pPr>
        <w:rPr>
          <w:rFonts w:ascii="Arial" w:hAnsi="Arial" w:cs="Arial"/>
          <w:color w:val="000000" w:themeColor="text1"/>
        </w:rPr>
      </w:pPr>
      <w:r>
        <w:rPr>
          <w:rFonts w:ascii="Arial" w:hAnsi="Arial" w:cs="Arial"/>
          <w:color w:val="000000" w:themeColor="text1"/>
        </w:rPr>
        <w:br w:type="page"/>
      </w:r>
    </w:p>
    <w:p w14:paraId="1E0E4030" w14:textId="2BF051F0" w:rsidR="009737CD" w:rsidRPr="006B1FA8" w:rsidRDefault="009737CD" w:rsidP="009737CD">
      <w:pPr>
        <w:spacing w:after="0" w:line="360" w:lineRule="auto"/>
        <w:jc w:val="center"/>
        <w:rPr>
          <w:rFonts w:ascii="Arial" w:hAnsi="Arial" w:cs="Arial"/>
          <w:color w:val="000000" w:themeColor="text1"/>
        </w:rPr>
      </w:pPr>
      <w:r w:rsidRPr="006B1FA8">
        <w:rPr>
          <w:rFonts w:ascii="Arial" w:hAnsi="Arial" w:cs="Arial"/>
          <w:color w:val="000000" w:themeColor="text1"/>
        </w:rPr>
        <w:lastRenderedPageBreak/>
        <w:t xml:space="preserve">Graphique </w:t>
      </w:r>
      <w:r>
        <w:rPr>
          <w:rFonts w:ascii="Arial" w:hAnsi="Arial" w:cs="Arial"/>
          <w:color w:val="000000" w:themeColor="text1"/>
        </w:rPr>
        <w:t>7</w:t>
      </w:r>
      <w:r w:rsidRPr="006B1FA8">
        <w:rPr>
          <w:rFonts w:ascii="Arial" w:hAnsi="Arial" w:cs="Arial"/>
          <w:color w:val="000000" w:themeColor="text1"/>
        </w:rPr>
        <w:t xml:space="preserve"> – </w:t>
      </w:r>
      <w:r w:rsidRPr="006B1FA8">
        <w:rPr>
          <w:rFonts w:ascii="Arial" w:hAnsi="Arial" w:cs="Arial"/>
          <w:b/>
          <w:color w:val="000000" w:themeColor="text1"/>
        </w:rPr>
        <w:t>Production et emploi</w:t>
      </w:r>
      <w:r>
        <w:rPr>
          <w:rFonts w:ascii="Arial" w:hAnsi="Arial" w:cs="Arial"/>
          <w:b/>
          <w:color w:val="000000" w:themeColor="text1"/>
        </w:rPr>
        <w:t xml:space="preserve"> dans le </w:t>
      </w:r>
      <w:r w:rsidRPr="006B1FA8">
        <w:rPr>
          <w:rFonts w:ascii="Arial" w:hAnsi="Arial" w:cs="Arial"/>
          <w:b/>
          <w:color w:val="000000" w:themeColor="text1"/>
        </w:rPr>
        <w:t>bâtiment</w:t>
      </w:r>
    </w:p>
    <w:p w14:paraId="23C12B0F" w14:textId="77777777" w:rsidR="009737CD" w:rsidRPr="006B1FA8" w:rsidRDefault="009737CD" w:rsidP="009737CD">
      <w:pPr>
        <w:spacing w:after="60" w:line="240" w:lineRule="auto"/>
        <w:jc w:val="center"/>
        <w:rPr>
          <w:rFonts w:ascii="Arial" w:hAnsi="Arial" w:cs="Arial"/>
          <w:color w:val="000000" w:themeColor="text1"/>
        </w:rPr>
      </w:pPr>
      <w:r w:rsidRPr="007D5D21">
        <w:rPr>
          <w:rFonts w:ascii="Arial" w:hAnsi="Arial" w:cs="Arial"/>
          <w:noProof/>
          <w:color w:val="000000" w:themeColor="text1"/>
        </w:rPr>
        <w:drawing>
          <wp:inline distT="0" distB="0" distL="0" distR="0" wp14:anchorId="001A27B6" wp14:editId="0672238C">
            <wp:extent cx="5760720" cy="3072130"/>
            <wp:effectExtent l="0" t="0" r="0" b="0"/>
            <wp:docPr id="7659510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072130"/>
                    </a:xfrm>
                    <a:prstGeom prst="rect">
                      <a:avLst/>
                    </a:prstGeom>
                    <a:noFill/>
                    <a:ln>
                      <a:noFill/>
                    </a:ln>
                  </pic:spPr>
                </pic:pic>
              </a:graphicData>
            </a:graphic>
          </wp:inline>
        </w:drawing>
      </w:r>
    </w:p>
    <w:p w14:paraId="449DAC13" w14:textId="642D30AF" w:rsidR="009737CD" w:rsidRPr="006B1FA8" w:rsidRDefault="009737CD" w:rsidP="009737CD">
      <w:pPr>
        <w:spacing w:after="120" w:line="360" w:lineRule="auto"/>
        <w:jc w:val="center"/>
        <w:rPr>
          <w:rFonts w:ascii="Arial" w:hAnsi="Arial" w:cs="Arial"/>
          <w:i/>
          <w:color w:val="000000" w:themeColor="text1"/>
          <w:sz w:val="20"/>
        </w:rPr>
      </w:pPr>
      <w:r w:rsidRPr="006B1FA8">
        <w:rPr>
          <w:rFonts w:ascii="Arial" w:hAnsi="Arial" w:cs="Arial"/>
          <w:i/>
          <w:color w:val="000000" w:themeColor="text1"/>
          <w:sz w:val="20"/>
        </w:rPr>
        <w:t>Source</w:t>
      </w:r>
      <w:r w:rsidR="005B7FEF">
        <w:rPr>
          <w:rFonts w:ascii="Arial" w:hAnsi="Arial" w:cs="Arial"/>
          <w:i/>
          <w:color w:val="000000" w:themeColor="text1"/>
          <w:sz w:val="20"/>
        </w:rPr>
        <w:t> </w:t>
      </w:r>
      <w:r w:rsidRPr="006B1FA8">
        <w:rPr>
          <w:rFonts w:ascii="Arial" w:hAnsi="Arial" w:cs="Arial"/>
          <w:i/>
          <w:color w:val="000000" w:themeColor="text1"/>
          <w:sz w:val="20"/>
        </w:rPr>
        <w:t>: FFB</w:t>
      </w:r>
    </w:p>
    <w:p w14:paraId="6FDF35A2" w14:textId="7630F47C" w:rsidR="009737CD" w:rsidRPr="006B1FA8" w:rsidRDefault="009737CD" w:rsidP="009737CD">
      <w:pPr>
        <w:spacing w:after="120" w:line="360" w:lineRule="auto"/>
        <w:jc w:val="both"/>
        <w:rPr>
          <w:rFonts w:ascii="Arial" w:hAnsi="Arial" w:cs="Arial"/>
          <w:color w:val="000000" w:themeColor="text1"/>
        </w:rPr>
      </w:pPr>
      <w:r>
        <w:rPr>
          <w:rFonts w:ascii="Arial" w:hAnsi="Arial" w:cs="Arial"/>
          <w:color w:val="000000" w:themeColor="text1"/>
        </w:rPr>
        <w:t xml:space="preserve">Quant à l’emploi, après </w:t>
      </w:r>
      <w:r w:rsidR="00232018">
        <w:rPr>
          <w:rFonts w:ascii="Arial" w:hAnsi="Arial" w:cs="Arial"/>
          <w:color w:val="000000" w:themeColor="text1"/>
        </w:rPr>
        <w:t>six</w:t>
      </w:r>
      <w:r w:rsidR="00810C15">
        <w:rPr>
          <w:rFonts w:ascii="Arial" w:hAnsi="Arial" w:cs="Arial"/>
          <w:color w:val="000000" w:themeColor="text1"/>
        </w:rPr>
        <w:t xml:space="preserve"> </w:t>
      </w:r>
      <w:r>
        <w:rPr>
          <w:rFonts w:ascii="Arial" w:hAnsi="Arial" w:cs="Arial"/>
          <w:color w:val="000000" w:themeColor="text1"/>
        </w:rPr>
        <w:t>années de hausse</w:t>
      </w:r>
      <w:r w:rsidR="00810C15">
        <w:rPr>
          <w:rFonts w:ascii="Arial" w:hAnsi="Arial" w:cs="Arial"/>
          <w:color w:val="000000" w:themeColor="text1"/>
        </w:rPr>
        <w:t xml:space="preserve"> </w:t>
      </w:r>
      <w:r>
        <w:rPr>
          <w:rFonts w:ascii="Arial" w:hAnsi="Arial" w:cs="Arial"/>
          <w:color w:val="000000" w:themeColor="text1"/>
        </w:rPr>
        <w:t xml:space="preserve">continue </w:t>
      </w:r>
      <w:r w:rsidR="00810C15">
        <w:rPr>
          <w:rFonts w:ascii="Arial" w:hAnsi="Arial" w:cs="Arial"/>
          <w:color w:val="000000" w:themeColor="text1"/>
        </w:rPr>
        <w:t>et</w:t>
      </w:r>
      <w:r>
        <w:rPr>
          <w:rFonts w:ascii="Arial" w:hAnsi="Arial" w:cs="Arial"/>
          <w:color w:val="000000" w:themeColor="text1"/>
        </w:rPr>
        <w:t xml:space="preserve"> notamment la création de plus de 110 000 postes </w:t>
      </w:r>
      <w:r w:rsidR="00810C15">
        <w:rPr>
          <w:rFonts w:ascii="Arial" w:hAnsi="Arial" w:cs="Arial"/>
          <w:color w:val="000000" w:themeColor="text1"/>
        </w:rPr>
        <w:t xml:space="preserve">(et même </w:t>
      </w:r>
      <w:r w:rsidR="009651CC">
        <w:rPr>
          <w:rFonts w:ascii="Arial" w:hAnsi="Arial" w:cs="Arial"/>
          <w:color w:val="000000" w:themeColor="text1"/>
        </w:rPr>
        <w:t>136 000</w:t>
      </w:r>
      <w:r w:rsidR="00810C15">
        <w:rPr>
          <w:rFonts w:ascii="Arial" w:hAnsi="Arial" w:cs="Arial"/>
          <w:color w:val="000000" w:themeColor="text1"/>
        </w:rPr>
        <w:t xml:space="preserve"> y compris artisans </w:t>
      </w:r>
      <w:proofErr w:type="spellStart"/>
      <w:r w:rsidR="00810C15">
        <w:rPr>
          <w:rFonts w:ascii="Arial" w:hAnsi="Arial" w:cs="Arial"/>
          <w:color w:val="000000" w:themeColor="text1"/>
        </w:rPr>
        <w:t>non salariés</w:t>
      </w:r>
      <w:proofErr w:type="spellEnd"/>
      <w:r w:rsidR="00810C15">
        <w:rPr>
          <w:rFonts w:ascii="Arial" w:hAnsi="Arial" w:cs="Arial"/>
          <w:color w:val="000000" w:themeColor="text1"/>
        </w:rPr>
        <w:t xml:space="preserve">) </w:t>
      </w:r>
      <w:r>
        <w:rPr>
          <w:rFonts w:ascii="Arial" w:hAnsi="Arial" w:cs="Arial"/>
          <w:color w:val="000000" w:themeColor="text1"/>
        </w:rPr>
        <w:t xml:space="preserve">sur 2020-2022, il </w:t>
      </w:r>
      <w:r w:rsidR="00810C15">
        <w:rPr>
          <w:rFonts w:ascii="Arial" w:hAnsi="Arial" w:cs="Arial"/>
          <w:color w:val="000000" w:themeColor="text1"/>
        </w:rPr>
        <w:t xml:space="preserve">fléchit d’environ 3 000 postes </w:t>
      </w:r>
      <w:r w:rsidR="00810C15" w:rsidRPr="006B1FA8">
        <w:rPr>
          <w:rFonts w:ascii="Arial" w:hAnsi="Arial" w:cs="Arial"/>
          <w:color w:val="000000" w:themeColor="text1"/>
        </w:rPr>
        <w:t xml:space="preserve">salariés et intérimaires </w:t>
      </w:r>
      <w:r w:rsidR="00810C15">
        <w:rPr>
          <w:rFonts w:ascii="Arial" w:hAnsi="Arial" w:cs="Arial"/>
          <w:color w:val="000000" w:themeColor="text1"/>
        </w:rPr>
        <w:t>ETP</w:t>
      </w:r>
      <w:r w:rsidR="00232018">
        <w:rPr>
          <w:rFonts w:ascii="Arial" w:hAnsi="Arial" w:cs="Arial"/>
          <w:color w:val="000000" w:themeColor="text1"/>
        </w:rPr>
        <w:t xml:space="preserve"> </w:t>
      </w:r>
      <w:r w:rsidR="00810C15">
        <w:rPr>
          <w:rFonts w:ascii="Arial" w:hAnsi="Arial" w:cs="Arial"/>
          <w:color w:val="000000" w:themeColor="text1"/>
        </w:rPr>
        <w:t>en moyenne sur 2023</w:t>
      </w:r>
      <w:r>
        <w:rPr>
          <w:rFonts w:ascii="Arial" w:hAnsi="Arial" w:cs="Arial"/>
          <w:color w:val="000000" w:themeColor="text1"/>
        </w:rPr>
        <w:t xml:space="preserve">. </w:t>
      </w:r>
      <w:r w:rsidR="00810C15">
        <w:rPr>
          <w:rFonts w:ascii="Arial" w:hAnsi="Arial" w:cs="Arial"/>
          <w:color w:val="000000" w:themeColor="text1"/>
        </w:rPr>
        <w:t xml:space="preserve">De plus, le mouvement </w:t>
      </w:r>
      <w:r w:rsidR="000E686B">
        <w:rPr>
          <w:rFonts w:ascii="Arial" w:hAnsi="Arial" w:cs="Arial"/>
          <w:color w:val="000000" w:themeColor="text1"/>
        </w:rPr>
        <w:t xml:space="preserve">relève des seuls effectifs salariés, </w:t>
      </w:r>
      <w:r w:rsidR="005C4D38">
        <w:rPr>
          <w:rFonts w:ascii="Arial" w:hAnsi="Arial" w:cs="Arial"/>
          <w:color w:val="000000" w:themeColor="text1"/>
        </w:rPr>
        <w:t>l’intérim restant stable</w:t>
      </w:r>
      <w:r w:rsidR="000E686B">
        <w:rPr>
          <w:rFonts w:ascii="Arial" w:hAnsi="Arial" w:cs="Arial"/>
          <w:color w:val="000000" w:themeColor="text1"/>
        </w:rPr>
        <w:t xml:space="preserve">. </w:t>
      </w:r>
    </w:p>
    <w:p w14:paraId="3F370F28" w14:textId="77777777" w:rsidR="00BD53DD" w:rsidRDefault="00BD53DD" w:rsidP="00BD53DD">
      <w:pPr>
        <w:spacing w:before="360" w:after="120" w:line="360" w:lineRule="auto"/>
        <w:rPr>
          <w:rFonts w:ascii="Arial" w:hAnsi="Arial" w:cs="Arial"/>
          <w:u w:val="single"/>
        </w:rPr>
      </w:pPr>
      <w:r>
        <w:rPr>
          <w:rFonts w:ascii="Arial" w:hAnsi="Arial" w:cs="Arial"/>
          <w:u w:val="single"/>
        </w:rPr>
        <w:t>1</w:t>
      </w:r>
      <w:r w:rsidRPr="00575A44">
        <w:rPr>
          <w:rFonts w:ascii="Arial" w:hAnsi="Arial" w:cs="Arial"/>
          <w:u w:val="single"/>
        </w:rPr>
        <w:t xml:space="preserve">.3 La situation des entreprises </w:t>
      </w:r>
    </w:p>
    <w:p w14:paraId="3E4D41A1" w14:textId="77777777" w:rsidR="00BD53DD" w:rsidRPr="00CC7349" w:rsidRDefault="00BD53DD" w:rsidP="00BD53DD">
      <w:pPr>
        <w:spacing w:after="120" w:line="360" w:lineRule="auto"/>
        <w:rPr>
          <w:rFonts w:ascii="Arial" w:hAnsi="Arial" w:cs="Arial"/>
          <w:i/>
        </w:rPr>
      </w:pPr>
      <w:r w:rsidRPr="00CC7349">
        <w:rPr>
          <w:rFonts w:ascii="Arial" w:hAnsi="Arial" w:cs="Arial"/>
          <w:i/>
        </w:rPr>
        <w:t>1.3.</w:t>
      </w:r>
      <w:r>
        <w:rPr>
          <w:rFonts w:ascii="Arial" w:hAnsi="Arial" w:cs="Arial"/>
          <w:i/>
        </w:rPr>
        <w:t>1</w:t>
      </w:r>
      <w:r w:rsidRPr="00CC7349">
        <w:rPr>
          <w:rFonts w:ascii="Arial" w:hAnsi="Arial" w:cs="Arial"/>
          <w:i/>
        </w:rPr>
        <w:t xml:space="preserve"> </w:t>
      </w:r>
      <w:r>
        <w:rPr>
          <w:rFonts w:ascii="Arial" w:hAnsi="Arial" w:cs="Arial"/>
          <w:i/>
        </w:rPr>
        <w:t>En termes de démographie</w:t>
      </w:r>
    </w:p>
    <w:p w14:paraId="00C565D7" w14:textId="37EB9AB6" w:rsidR="009737CD" w:rsidRDefault="009737CD" w:rsidP="009737CD">
      <w:pPr>
        <w:spacing w:after="120" w:line="360" w:lineRule="auto"/>
        <w:jc w:val="both"/>
        <w:rPr>
          <w:rFonts w:ascii="Arial" w:hAnsi="Arial" w:cs="Arial"/>
        </w:rPr>
      </w:pPr>
      <w:r>
        <w:rPr>
          <w:rFonts w:ascii="Arial" w:hAnsi="Arial" w:cs="Arial"/>
        </w:rPr>
        <w:t>Après avoir connu une quasi-stabilisation en 2022, l</w:t>
      </w:r>
      <w:r w:rsidRPr="00E26EC0">
        <w:rPr>
          <w:rFonts w:ascii="Arial" w:hAnsi="Arial" w:cs="Arial"/>
        </w:rPr>
        <w:t xml:space="preserve">es créations </w:t>
      </w:r>
      <w:r w:rsidR="000E686B">
        <w:rPr>
          <w:rFonts w:ascii="Arial" w:hAnsi="Arial" w:cs="Arial"/>
        </w:rPr>
        <w:t>d’entreprises de</w:t>
      </w:r>
      <w:r w:rsidRPr="00E26EC0">
        <w:rPr>
          <w:rFonts w:ascii="Arial" w:hAnsi="Arial" w:cs="Arial"/>
        </w:rPr>
        <w:t xml:space="preserve"> construction, hors micro-entrepreneurs, </w:t>
      </w:r>
      <w:r>
        <w:rPr>
          <w:rFonts w:ascii="Arial" w:hAnsi="Arial" w:cs="Arial"/>
        </w:rPr>
        <w:t>chutent de près de 15,0 %</w:t>
      </w:r>
      <w:r w:rsidRPr="00E26EC0">
        <w:rPr>
          <w:rFonts w:ascii="Arial" w:hAnsi="Arial" w:cs="Arial"/>
        </w:rPr>
        <w:t xml:space="preserve"> </w:t>
      </w:r>
      <w:r w:rsidR="000E686B">
        <w:rPr>
          <w:rFonts w:ascii="Arial" w:hAnsi="Arial" w:cs="Arial"/>
        </w:rPr>
        <w:t xml:space="preserve">en 2023 </w:t>
      </w:r>
      <w:r w:rsidRPr="00E26EC0">
        <w:rPr>
          <w:rFonts w:ascii="Arial" w:hAnsi="Arial" w:cs="Arial"/>
        </w:rPr>
        <w:t xml:space="preserve">(cf. graphique </w:t>
      </w:r>
      <w:r w:rsidR="00F1618E">
        <w:rPr>
          <w:rFonts w:ascii="Arial" w:hAnsi="Arial" w:cs="Arial"/>
        </w:rPr>
        <w:t>8</w:t>
      </w:r>
      <w:r w:rsidRPr="00E26EC0">
        <w:rPr>
          <w:rFonts w:ascii="Arial" w:hAnsi="Arial" w:cs="Arial"/>
        </w:rPr>
        <w:t>)</w:t>
      </w:r>
      <w:r>
        <w:rPr>
          <w:rFonts w:ascii="Arial" w:hAnsi="Arial" w:cs="Arial"/>
        </w:rPr>
        <w:t>. Cette évolution ressort presque trois fois plus rapide que celle relevée pour l’ensemble de l’économie, aux environs de -5 %.</w:t>
      </w:r>
    </w:p>
    <w:p w14:paraId="2FE0AA5F" w14:textId="4A630CBB" w:rsidR="009737CD" w:rsidRPr="00A7271A" w:rsidRDefault="009737CD" w:rsidP="001808A8">
      <w:pPr>
        <w:spacing w:after="120" w:line="360" w:lineRule="auto"/>
        <w:jc w:val="both"/>
        <w:rPr>
          <w:rFonts w:ascii="Arial" w:hAnsi="Arial" w:cs="Arial"/>
        </w:rPr>
      </w:pPr>
      <w:r>
        <w:rPr>
          <w:rFonts w:ascii="Arial" w:hAnsi="Arial" w:cs="Arial"/>
        </w:rPr>
        <w:t xml:space="preserve">Quant aux </w:t>
      </w:r>
      <w:r w:rsidRPr="00BD29B2">
        <w:rPr>
          <w:rFonts w:ascii="Arial" w:hAnsi="Arial" w:cs="Arial"/>
        </w:rPr>
        <w:t>défaillances</w:t>
      </w:r>
      <w:r>
        <w:rPr>
          <w:rFonts w:ascii="Arial" w:hAnsi="Arial" w:cs="Arial"/>
        </w:rPr>
        <w:t xml:space="preserve">, elles </w:t>
      </w:r>
      <w:r w:rsidRPr="00BD29B2">
        <w:rPr>
          <w:rFonts w:ascii="Arial" w:hAnsi="Arial" w:cs="Arial"/>
        </w:rPr>
        <w:t xml:space="preserve">s’envolent </w:t>
      </w:r>
      <w:r>
        <w:rPr>
          <w:rFonts w:ascii="Arial" w:hAnsi="Arial" w:cs="Arial"/>
        </w:rPr>
        <w:t>de près de 40 %</w:t>
      </w:r>
      <w:r w:rsidRPr="00BD29B2">
        <w:rPr>
          <w:rFonts w:ascii="Arial" w:hAnsi="Arial" w:cs="Arial"/>
        </w:rPr>
        <w:t xml:space="preserve"> en </w:t>
      </w:r>
      <w:r>
        <w:rPr>
          <w:rFonts w:ascii="Arial" w:hAnsi="Arial" w:cs="Arial"/>
        </w:rPr>
        <w:t>2</w:t>
      </w:r>
      <w:r w:rsidRPr="00BD29B2">
        <w:rPr>
          <w:rFonts w:ascii="Arial" w:hAnsi="Arial" w:cs="Arial"/>
        </w:rPr>
        <w:t>02</w:t>
      </w:r>
      <w:r>
        <w:rPr>
          <w:rFonts w:ascii="Arial" w:hAnsi="Arial" w:cs="Arial"/>
        </w:rPr>
        <w:t>3</w:t>
      </w:r>
      <w:r w:rsidRPr="00BD29B2">
        <w:rPr>
          <w:rFonts w:ascii="Arial" w:hAnsi="Arial" w:cs="Arial"/>
        </w:rPr>
        <w:t xml:space="preserve"> dans la construction</w:t>
      </w:r>
      <w:r>
        <w:rPr>
          <w:rFonts w:ascii="Arial" w:hAnsi="Arial" w:cs="Arial"/>
        </w:rPr>
        <w:t xml:space="preserve"> pour dépasser légèrement leur niveau d’avant crise sanitair</w:t>
      </w:r>
      <w:r w:rsidRPr="00D705C7">
        <w:rPr>
          <w:rFonts w:ascii="Arial" w:hAnsi="Arial" w:cs="Arial"/>
        </w:rPr>
        <w:t>e.</w:t>
      </w:r>
      <w:r>
        <w:rPr>
          <w:rFonts w:ascii="Arial" w:hAnsi="Arial" w:cs="Arial"/>
        </w:rPr>
        <w:t xml:space="preserve"> </w:t>
      </w:r>
      <w:r w:rsidR="000E686B">
        <w:rPr>
          <w:rFonts w:ascii="Arial" w:hAnsi="Arial" w:cs="Arial"/>
        </w:rPr>
        <w:t>S</w:t>
      </w:r>
      <w:r>
        <w:rPr>
          <w:rFonts w:ascii="Arial" w:hAnsi="Arial" w:cs="Arial"/>
        </w:rPr>
        <w:t>elon Altares, e</w:t>
      </w:r>
      <w:r w:rsidRPr="00871293">
        <w:rPr>
          <w:rFonts w:ascii="Arial" w:hAnsi="Arial" w:cs="Arial"/>
        </w:rPr>
        <w:t xml:space="preserve">n cumul sur onze mois à fin novembre 2023, </w:t>
      </w:r>
      <w:r>
        <w:rPr>
          <w:rFonts w:ascii="Arial" w:hAnsi="Arial" w:cs="Arial"/>
        </w:rPr>
        <w:t xml:space="preserve">il en va de même </w:t>
      </w:r>
      <w:r w:rsidR="000E686B">
        <w:rPr>
          <w:rFonts w:ascii="Arial" w:hAnsi="Arial" w:cs="Arial"/>
        </w:rPr>
        <w:t>pour le</w:t>
      </w:r>
      <w:r>
        <w:rPr>
          <w:rFonts w:ascii="Arial" w:hAnsi="Arial" w:cs="Arial"/>
        </w:rPr>
        <w:t xml:space="preserve"> seul bâtiment</w:t>
      </w:r>
      <w:r w:rsidR="00DA525C">
        <w:rPr>
          <w:rFonts w:ascii="Arial" w:hAnsi="Arial" w:cs="Arial"/>
        </w:rPr>
        <w:t>, à +2,0 %</w:t>
      </w:r>
      <w:r w:rsidR="004C63ED">
        <w:rPr>
          <w:rFonts w:ascii="Arial" w:hAnsi="Arial" w:cs="Arial"/>
        </w:rPr>
        <w:t xml:space="preserve"> par rapport à 2019</w:t>
      </w:r>
      <w:r w:rsidRPr="00871293">
        <w:rPr>
          <w:rFonts w:ascii="Arial" w:hAnsi="Arial" w:cs="Arial"/>
        </w:rPr>
        <w:t>. L</w:t>
      </w:r>
      <w:r w:rsidR="001808A8" w:rsidRPr="001808A8">
        <w:rPr>
          <w:rFonts w:ascii="Arial" w:hAnsi="Arial" w:cs="Arial"/>
        </w:rPr>
        <w:t>e gros</w:t>
      </w:r>
      <w:r w:rsidR="001808A8">
        <w:rPr>
          <w:rFonts w:ascii="Arial" w:hAnsi="Arial" w:cs="Arial"/>
        </w:rPr>
        <w:t xml:space="preserve"> </w:t>
      </w:r>
      <w:r w:rsidR="001808A8" w:rsidRPr="001808A8">
        <w:rPr>
          <w:rFonts w:ascii="Arial" w:hAnsi="Arial" w:cs="Arial"/>
        </w:rPr>
        <w:t>œuvre résiste encore (-2,8</w:t>
      </w:r>
      <w:r w:rsidR="004C63ED">
        <w:rPr>
          <w:rFonts w:ascii="Arial" w:hAnsi="Arial" w:cs="Arial"/>
        </w:rPr>
        <w:t> </w:t>
      </w:r>
      <w:r w:rsidR="001808A8" w:rsidRPr="001808A8">
        <w:rPr>
          <w:rFonts w:ascii="Arial" w:hAnsi="Arial" w:cs="Arial"/>
        </w:rPr>
        <w:t xml:space="preserve">%), bien que les défaillances des constructeurs de maisons individuelles </w:t>
      </w:r>
      <w:r w:rsidR="004C63ED">
        <w:rPr>
          <w:rFonts w:ascii="Arial" w:hAnsi="Arial" w:cs="Arial"/>
        </w:rPr>
        <w:t>s’affichent pour l’heure en petite hausse</w:t>
      </w:r>
      <w:r w:rsidR="001808A8" w:rsidRPr="001808A8">
        <w:rPr>
          <w:rFonts w:ascii="Arial" w:hAnsi="Arial" w:cs="Arial"/>
        </w:rPr>
        <w:t xml:space="preserve"> (+1,4</w:t>
      </w:r>
      <w:r w:rsidR="004C63ED">
        <w:rPr>
          <w:rFonts w:ascii="Arial" w:hAnsi="Arial" w:cs="Arial"/>
        </w:rPr>
        <w:t> </w:t>
      </w:r>
      <w:r w:rsidR="001808A8" w:rsidRPr="001808A8">
        <w:rPr>
          <w:rFonts w:ascii="Arial" w:hAnsi="Arial" w:cs="Arial"/>
        </w:rPr>
        <w:t>%).</w:t>
      </w:r>
      <w:r w:rsidR="001808A8">
        <w:rPr>
          <w:rFonts w:ascii="Arial" w:hAnsi="Arial" w:cs="Arial"/>
        </w:rPr>
        <w:t xml:space="preserve"> Quant au </w:t>
      </w:r>
      <w:r w:rsidR="001808A8" w:rsidRPr="001808A8">
        <w:rPr>
          <w:rFonts w:ascii="Arial" w:hAnsi="Arial" w:cs="Arial"/>
        </w:rPr>
        <w:t>second œuvre</w:t>
      </w:r>
      <w:r w:rsidR="001808A8">
        <w:rPr>
          <w:rFonts w:ascii="Arial" w:hAnsi="Arial" w:cs="Arial"/>
        </w:rPr>
        <w:t>, il</w:t>
      </w:r>
      <w:r w:rsidR="001808A8" w:rsidRPr="001808A8">
        <w:rPr>
          <w:rFonts w:ascii="Arial" w:hAnsi="Arial" w:cs="Arial"/>
        </w:rPr>
        <w:t xml:space="preserve"> souffre (+5,4</w:t>
      </w:r>
      <w:r w:rsidR="004C63ED">
        <w:rPr>
          <w:rFonts w:ascii="Arial" w:hAnsi="Arial" w:cs="Arial"/>
        </w:rPr>
        <w:t> </w:t>
      </w:r>
      <w:r w:rsidR="001808A8" w:rsidRPr="001808A8">
        <w:rPr>
          <w:rFonts w:ascii="Arial" w:hAnsi="Arial" w:cs="Arial"/>
        </w:rPr>
        <w:t>%)</w:t>
      </w:r>
      <w:r w:rsidR="004C63ED">
        <w:rPr>
          <w:rFonts w:ascii="Arial" w:hAnsi="Arial" w:cs="Arial"/>
        </w:rPr>
        <w:t xml:space="preserve">, </w:t>
      </w:r>
      <w:r w:rsidR="001808A8" w:rsidRPr="001808A8">
        <w:rPr>
          <w:rFonts w:ascii="Arial" w:hAnsi="Arial" w:cs="Arial"/>
        </w:rPr>
        <w:t>notamment les entreprises de travaux d’installation électrique (+28,4</w:t>
      </w:r>
      <w:r w:rsidR="004C63ED">
        <w:rPr>
          <w:rFonts w:ascii="Arial" w:hAnsi="Arial" w:cs="Arial"/>
        </w:rPr>
        <w:t> </w:t>
      </w:r>
      <w:r w:rsidR="001808A8" w:rsidRPr="001808A8">
        <w:rPr>
          <w:rFonts w:ascii="Arial" w:hAnsi="Arial" w:cs="Arial"/>
        </w:rPr>
        <w:t>%) et de génie climatique (+20,0</w:t>
      </w:r>
      <w:r w:rsidR="004C63ED">
        <w:rPr>
          <w:rFonts w:ascii="Arial" w:hAnsi="Arial" w:cs="Arial"/>
        </w:rPr>
        <w:t> </w:t>
      </w:r>
      <w:r w:rsidR="001808A8" w:rsidRPr="001808A8">
        <w:rPr>
          <w:rFonts w:ascii="Arial" w:hAnsi="Arial" w:cs="Arial"/>
        </w:rPr>
        <w:t>%).</w:t>
      </w:r>
      <w:r w:rsidRPr="00871293">
        <w:rPr>
          <w:rFonts w:ascii="Arial" w:hAnsi="Arial" w:cs="Arial"/>
        </w:rPr>
        <w:t xml:space="preserve"> </w:t>
      </w:r>
      <w:r w:rsidR="001808A8">
        <w:rPr>
          <w:rFonts w:ascii="Arial" w:hAnsi="Arial" w:cs="Arial"/>
        </w:rPr>
        <w:t xml:space="preserve">Par ailleurs, </w:t>
      </w:r>
      <w:r w:rsidR="001808A8" w:rsidRPr="001808A8">
        <w:rPr>
          <w:rFonts w:ascii="Arial" w:hAnsi="Arial" w:cs="Arial"/>
        </w:rPr>
        <w:t>les défaillances s’inscrivent encore en-deçà des niveaux de 2019 pour les structures de 1 à 9 salariés, ainsi que de 50 salariés et plus (-14,9</w:t>
      </w:r>
      <w:r w:rsidR="001808A8">
        <w:rPr>
          <w:rFonts w:ascii="Arial" w:hAnsi="Arial" w:cs="Arial"/>
        </w:rPr>
        <w:t> </w:t>
      </w:r>
      <w:r w:rsidR="001808A8" w:rsidRPr="001808A8">
        <w:rPr>
          <w:rFonts w:ascii="Arial" w:hAnsi="Arial" w:cs="Arial"/>
        </w:rPr>
        <w:t>% et -7,1</w:t>
      </w:r>
      <w:r w:rsidR="004C63ED">
        <w:rPr>
          <w:rFonts w:ascii="Arial" w:hAnsi="Arial" w:cs="Arial"/>
        </w:rPr>
        <w:t> </w:t>
      </w:r>
      <w:r w:rsidR="001808A8" w:rsidRPr="001808A8">
        <w:rPr>
          <w:rFonts w:ascii="Arial" w:hAnsi="Arial" w:cs="Arial"/>
        </w:rPr>
        <w:t>%)</w:t>
      </w:r>
      <w:r w:rsidR="001808A8">
        <w:rPr>
          <w:rFonts w:ascii="Arial" w:hAnsi="Arial" w:cs="Arial"/>
        </w:rPr>
        <w:t>, m</w:t>
      </w:r>
      <w:r w:rsidR="001808A8" w:rsidRPr="001808A8">
        <w:rPr>
          <w:rFonts w:ascii="Arial" w:hAnsi="Arial" w:cs="Arial"/>
        </w:rPr>
        <w:t xml:space="preserve">ais s’envolent pour les entreprises sans salarié, ou bien de 10 à 49 </w:t>
      </w:r>
      <w:r w:rsidR="001808A8" w:rsidRPr="001808A8">
        <w:rPr>
          <w:rFonts w:ascii="Arial" w:hAnsi="Arial" w:cs="Arial"/>
        </w:rPr>
        <w:lastRenderedPageBreak/>
        <w:t>salariés (+48,6</w:t>
      </w:r>
      <w:r w:rsidR="001808A8">
        <w:rPr>
          <w:rFonts w:ascii="Arial" w:hAnsi="Arial" w:cs="Arial"/>
        </w:rPr>
        <w:t> </w:t>
      </w:r>
      <w:r w:rsidR="001808A8" w:rsidRPr="001808A8">
        <w:rPr>
          <w:rFonts w:ascii="Arial" w:hAnsi="Arial" w:cs="Arial"/>
        </w:rPr>
        <w:t>% et +41,2</w:t>
      </w:r>
      <w:r w:rsidR="004C63ED">
        <w:rPr>
          <w:rFonts w:ascii="Arial" w:hAnsi="Arial" w:cs="Arial"/>
        </w:rPr>
        <w:t> </w:t>
      </w:r>
      <w:r w:rsidR="001808A8" w:rsidRPr="001808A8">
        <w:rPr>
          <w:rFonts w:ascii="Arial" w:hAnsi="Arial" w:cs="Arial"/>
        </w:rPr>
        <w:t xml:space="preserve">%). </w:t>
      </w:r>
      <w:r w:rsidR="004C63ED">
        <w:rPr>
          <w:rFonts w:ascii="Arial" w:hAnsi="Arial" w:cs="Arial"/>
        </w:rPr>
        <w:t xml:space="preserve">Bien </w:t>
      </w:r>
      <w:r w:rsidR="00F1618E">
        <w:rPr>
          <w:rFonts w:ascii="Arial" w:hAnsi="Arial" w:cs="Arial"/>
        </w:rPr>
        <w:t>évidemment</w:t>
      </w:r>
      <w:r w:rsidR="004C63ED">
        <w:rPr>
          <w:rFonts w:ascii="Arial" w:hAnsi="Arial" w:cs="Arial"/>
        </w:rPr>
        <w:t xml:space="preserve">, le nombre de </w:t>
      </w:r>
      <w:r w:rsidR="00F1618E">
        <w:rPr>
          <w:rFonts w:ascii="Arial" w:hAnsi="Arial" w:cs="Arial"/>
        </w:rPr>
        <w:t>défaillances</w:t>
      </w:r>
      <w:r w:rsidR="004C63ED">
        <w:rPr>
          <w:rFonts w:ascii="Arial" w:hAnsi="Arial" w:cs="Arial"/>
        </w:rPr>
        <w:t xml:space="preserve"> ne peut qu’accélérer</w:t>
      </w:r>
      <w:r w:rsidRPr="00A7271A">
        <w:rPr>
          <w:rFonts w:ascii="Arial" w:hAnsi="Arial" w:cs="Arial"/>
        </w:rPr>
        <w:t xml:space="preserve"> avec l’entrée en récession</w:t>
      </w:r>
      <w:r w:rsidR="004C63ED">
        <w:rPr>
          <w:rFonts w:ascii="Arial" w:hAnsi="Arial" w:cs="Arial"/>
        </w:rPr>
        <w:t xml:space="preserve"> du secteur</w:t>
      </w:r>
      <w:r w:rsidRPr="00A7271A">
        <w:rPr>
          <w:rFonts w:ascii="Arial" w:hAnsi="Arial" w:cs="Arial"/>
        </w:rPr>
        <w:t>.</w:t>
      </w:r>
    </w:p>
    <w:p w14:paraId="58F4BA01" w14:textId="54EC3ACC" w:rsidR="009737CD" w:rsidRPr="00F4419C" w:rsidRDefault="009737CD" w:rsidP="009737CD">
      <w:pPr>
        <w:jc w:val="center"/>
        <w:rPr>
          <w:rFonts w:ascii="Arial" w:hAnsi="Arial" w:cs="Arial"/>
          <w:b/>
        </w:rPr>
      </w:pPr>
      <w:r w:rsidRPr="00F4419C">
        <w:rPr>
          <w:rFonts w:ascii="Arial" w:hAnsi="Arial" w:cs="Arial"/>
        </w:rPr>
        <w:t xml:space="preserve">Graphique </w:t>
      </w:r>
      <w:r w:rsidR="00F1618E">
        <w:rPr>
          <w:rFonts w:ascii="Arial" w:hAnsi="Arial" w:cs="Arial"/>
        </w:rPr>
        <w:t>8</w:t>
      </w:r>
      <w:r w:rsidRPr="00F4419C">
        <w:rPr>
          <w:rFonts w:ascii="Arial" w:hAnsi="Arial" w:cs="Arial"/>
        </w:rPr>
        <w:t xml:space="preserve"> – </w:t>
      </w:r>
      <w:r w:rsidRPr="00F4419C">
        <w:rPr>
          <w:rFonts w:ascii="Arial" w:hAnsi="Arial" w:cs="Arial"/>
          <w:b/>
        </w:rPr>
        <w:t>Créations et défaillances d’entreprises dans la construction</w:t>
      </w:r>
    </w:p>
    <w:p w14:paraId="3F90A63F" w14:textId="77777777" w:rsidR="009737CD" w:rsidRPr="00F4419C" w:rsidRDefault="009737CD" w:rsidP="009737CD">
      <w:pPr>
        <w:spacing w:after="60" w:line="240" w:lineRule="auto"/>
        <w:jc w:val="center"/>
        <w:rPr>
          <w:rFonts w:ascii="Arial" w:hAnsi="Arial" w:cs="Arial"/>
          <w:sz w:val="20"/>
          <w:szCs w:val="20"/>
        </w:rPr>
      </w:pPr>
      <w:r w:rsidRPr="005E3C77">
        <w:rPr>
          <w:rFonts w:ascii="Arial" w:hAnsi="Arial" w:cs="Arial"/>
          <w:noProof/>
          <w:sz w:val="20"/>
          <w:szCs w:val="20"/>
        </w:rPr>
        <w:drawing>
          <wp:inline distT="0" distB="0" distL="0" distR="0" wp14:anchorId="4DA8D164" wp14:editId="6075B9CD">
            <wp:extent cx="5760720" cy="3058160"/>
            <wp:effectExtent l="0" t="0" r="0" b="8890"/>
            <wp:docPr id="1659002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058160"/>
                    </a:xfrm>
                    <a:prstGeom prst="rect">
                      <a:avLst/>
                    </a:prstGeom>
                    <a:noFill/>
                    <a:ln>
                      <a:noFill/>
                    </a:ln>
                  </pic:spPr>
                </pic:pic>
              </a:graphicData>
            </a:graphic>
          </wp:inline>
        </w:drawing>
      </w:r>
    </w:p>
    <w:p w14:paraId="2B469402" w14:textId="1B66F006" w:rsidR="009737CD" w:rsidRPr="00F4419C" w:rsidRDefault="009737CD" w:rsidP="009737CD">
      <w:pPr>
        <w:spacing w:after="120" w:line="360" w:lineRule="auto"/>
        <w:jc w:val="center"/>
        <w:rPr>
          <w:rFonts w:ascii="Arial" w:hAnsi="Arial" w:cs="Arial"/>
          <w:i/>
          <w:sz w:val="20"/>
          <w:szCs w:val="20"/>
        </w:rPr>
      </w:pPr>
      <w:r w:rsidRPr="00F4419C">
        <w:rPr>
          <w:rFonts w:ascii="Arial" w:hAnsi="Arial" w:cs="Arial"/>
          <w:i/>
          <w:sz w:val="20"/>
          <w:szCs w:val="20"/>
        </w:rPr>
        <w:t>Sources</w:t>
      </w:r>
      <w:r w:rsidR="005B7FEF">
        <w:rPr>
          <w:rFonts w:ascii="Arial" w:hAnsi="Arial" w:cs="Arial"/>
          <w:i/>
          <w:sz w:val="20"/>
          <w:szCs w:val="20"/>
        </w:rPr>
        <w:t> </w:t>
      </w:r>
      <w:r w:rsidRPr="00F4419C">
        <w:rPr>
          <w:rFonts w:ascii="Arial" w:hAnsi="Arial" w:cs="Arial"/>
          <w:i/>
          <w:sz w:val="20"/>
          <w:szCs w:val="20"/>
        </w:rPr>
        <w:t xml:space="preserve">: Insee et Banque de </w:t>
      </w:r>
      <w:r w:rsidR="005B7FEF">
        <w:rPr>
          <w:rFonts w:ascii="Arial" w:hAnsi="Arial" w:cs="Arial"/>
          <w:i/>
          <w:sz w:val="20"/>
          <w:szCs w:val="20"/>
        </w:rPr>
        <w:t>France</w:t>
      </w:r>
    </w:p>
    <w:p w14:paraId="1913DD33" w14:textId="77777777" w:rsidR="00BD53DD" w:rsidRPr="00CC7349" w:rsidRDefault="00BD53DD" w:rsidP="00BD53DD">
      <w:pPr>
        <w:spacing w:before="240" w:after="120" w:line="360" w:lineRule="auto"/>
        <w:jc w:val="both"/>
        <w:rPr>
          <w:rFonts w:ascii="Arial" w:hAnsi="Arial" w:cs="Arial"/>
          <w:i/>
        </w:rPr>
      </w:pPr>
      <w:r w:rsidRPr="00CC7349">
        <w:rPr>
          <w:rFonts w:ascii="Arial" w:hAnsi="Arial" w:cs="Arial"/>
          <w:i/>
        </w:rPr>
        <w:t>1.3.</w:t>
      </w:r>
      <w:r>
        <w:rPr>
          <w:rFonts w:ascii="Arial" w:hAnsi="Arial" w:cs="Arial"/>
          <w:i/>
        </w:rPr>
        <w:t>2</w:t>
      </w:r>
      <w:r w:rsidRPr="00CC7349">
        <w:rPr>
          <w:rFonts w:ascii="Arial" w:hAnsi="Arial" w:cs="Arial"/>
          <w:i/>
        </w:rPr>
        <w:t xml:space="preserve"> </w:t>
      </w:r>
      <w:r>
        <w:rPr>
          <w:rFonts w:ascii="Arial" w:hAnsi="Arial" w:cs="Arial"/>
          <w:i/>
        </w:rPr>
        <w:t xml:space="preserve">En termes de </w:t>
      </w:r>
      <w:r w:rsidRPr="00CC7349">
        <w:rPr>
          <w:rFonts w:ascii="Arial" w:hAnsi="Arial" w:cs="Arial"/>
          <w:i/>
        </w:rPr>
        <w:t xml:space="preserve">situation </w:t>
      </w:r>
      <w:r>
        <w:rPr>
          <w:rFonts w:ascii="Arial" w:hAnsi="Arial" w:cs="Arial"/>
          <w:i/>
        </w:rPr>
        <w:t>financière</w:t>
      </w:r>
    </w:p>
    <w:p w14:paraId="1F9EB4D2" w14:textId="201240C9" w:rsidR="009737CD" w:rsidRPr="00F4419C" w:rsidRDefault="009737CD" w:rsidP="009737CD">
      <w:pPr>
        <w:spacing w:after="120" w:line="360" w:lineRule="auto"/>
        <w:jc w:val="both"/>
        <w:rPr>
          <w:rFonts w:ascii="Arial" w:hAnsi="Arial" w:cs="Arial"/>
        </w:rPr>
      </w:pPr>
      <w:r w:rsidRPr="00F4419C">
        <w:rPr>
          <w:rFonts w:ascii="Arial" w:hAnsi="Arial" w:cs="Arial"/>
        </w:rPr>
        <w:t xml:space="preserve">Malgré </w:t>
      </w:r>
      <w:r w:rsidR="004C63ED">
        <w:rPr>
          <w:rFonts w:ascii="Arial" w:hAnsi="Arial" w:cs="Arial"/>
        </w:rPr>
        <w:t>la modeste baisse</w:t>
      </w:r>
      <w:r>
        <w:rPr>
          <w:rFonts w:ascii="Arial" w:hAnsi="Arial" w:cs="Arial"/>
        </w:rPr>
        <w:t xml:space="preserve"> </w:t>
      </w:r>
      <w:r w:rsidRPr="00F4419C">
        <w:rPr>
          <w:rFonts w:ascii="Arial" w:hAnsi="Arial" w:cs="Arial"/>
        </w:rPr>
        <w:t xml:space="preserve">d’activité, la situation financière des entreprises de construction </w:t>
      </w:r>
      <w:r>
        <w:rPr>
          <w:rFonts w:ascii="Arial" w:hAnsi="Arial" w:cs="Arial"/>
        </w:rPr>
        <w:t xml:space="preserve">a continué de </w:t>
      </w:r>
      <w:r w:rsidRPr="00F4419C">
        <w:rPr>
          <w:rFonts w:ascii="Arial" w:hAnsi="Arial" w:cs="Arial"/>
        </w:rPr>
        <w:t>s’améliore</w:t>
      </w:r>
      <w:r>
        <w:rPr>
          <w:rFonts w:ascii="Arial" w:hAnsi="Arial" w:cs="Arial"/>
        </w:rPr>
        <w:t>r légèrement</w:t>
      </w:r>
      <w:r w:rsidRPr="00F4419C">
        <w:rPr>
          <w:rFonts w:ascii="Arial" w:hAnsi="Arial" w:cs="Arial"/>
        </w:rPr>
        <w:t xml:space="preserve"> en 2023 (cf. graphique </w:t>
      </w:r>
      <w:r w:rsidR="00F1618E">
        <w:rPr>
          <w:rFonts w:ascii="Arial" w:hAnsi="Arial" w:cs="Arial"/>
        </w:rPr>
        <w:t>9</w:t>
      </w:r>
      <w:r w:rsidRPr="00F4419C">
        <w:rPr>
          <w:rFonts w:ascii="Arial" w:hAnsi="Arial" w:cs="Arial"/>
        </w:rPr>
        <w:t xml:space="preserve">). </w:t>
      </w:r>
    </w:p>
    <w:p w14:paraId="53B81CA2" w14:textId="48C41A7A" w:rsidR="009737CD" w:rsidRPr="00F4419C" w:rsidRDefault="009737CD" w:rsidP="009737CD">
      <w:pPr>
        <w:spacing w:after="0" w:line="360" w:lineRule="auto"/>
        <w:jc w:val="center"/>
        <w:rPr>
          <w:rFonts w:ascii="Arial" w:hAnsi="Arial" w:cs="Arial"/>
        </w:rPr>
      </w:pPr>
      <w:r w:rsidRPr="00F4419C">
        <w:rPr>
          <w:rFonts w:ascii="Arial" w:hAnsi="Arial" w:cs="Arial"/>
        </w:rPr>
        <w:t xml:space="preserve">Graphique </w:t>
      </w:r>
      <w:r w:rsidR="00F1618E">
        <w:rPr>
          <w:rFonts w:ascii="Arial" w:hAnsi="Arial" w:cs="Arial"/>
        </w:rPr>
        <w:t>9</w:t>
      </w:r>
      <w:r w:rsidRPr="00F4419C">
        <w:rPr>
          <w:rFonts w:ascii="Arial" w:hAnsi="Arial" w:cs="Arial"/>
        </w:rPr>
        <w:t xml:space="preserve"> – </w:t>
      </w:r>
      <w:r w:rsidRPr="00F4419C">
        <w:rPr>
          <w:rFonts w:ascii="Arial" w:hAnsi="Arial" w:cs="Arial"/>
          <w:b/>
        </w:rPr>
        <w:t xml:space="preserve">Taux de marge opérationnelle corrigé de la rémunération des chefs d’entreprise </w:t>
      </w:r>
      <w:proofErr w:type="spellStart"/>
      <w:r w:rsidRPr="00F4419C">
        <w:rPr>
          <w:rFonts w:ascii="Arial" w:hAnsi="Arial" w:cs="Arial"/>
          <w:b/>
        </w:rPr>
        <w:t>non salariés</w:t>
      </w:r>
      <w:proofErr w:type="spellEnd"/>
      <w:r w:rsidRPr="00F4419C">
        <w:rPr>
          <w:rFonts w:ascii="Arial" w:hAnsi="Arial" w:cs="Arial"/>
          <w:b/>
        </w:rPr>
        <w:t xml:space="preserve"> dans la construction</w:t>
      </w:r>
      <w:r w:rsidR="0056799D" w:rsidRPr="0056799D">
        <w:rPr>
          <w:rFonts w:ascii="Arial" w:hAnsi="Arial" w:cs="Arial"/>
          <w:b/>
        </w:rPr>
        <w:t xml:space="preserve"> </w:t>
      </w:r>
      <w:r w:rsidR="0056799D" w:rsidRPr="0056799D">
        <w:rPr>
          <w:noProof/>
        </w:rPr>
        <w:drawing>
          <wp:inline distT="0" distB="0" distL="0" distR="0" wp14:anchorId="403EF983" wp14:editId="18771308">
            <wp:extent cx="5760720" cy="2971800"/>
            <wp:effectExtent l="0" t="0" r="0" b="0"/>
            <wp:docPr id="14726547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971800"/>
                    </a:xfrm>
                    <a:prstGeom prst="rect">
                      <a:avLst/>
                    </a:prstGeom>
                    <a:noFill/>
                    <a:ln>
                      <a:noFill/>
                    </a:ln>
                  </pic:spPr>
                </pic:pic>
              </a:graphicData>
            </a:graphic>
          </wp:inline>
        </w:drawing>
      </w:r>
    </w:p>
    <w:p w14:paraId="0675B5C9" w14:textId="09476741" w:rsidR="009737CD" w:rsidRPr="00F4419C" w:rsidRDefault="005B7FEF" w:rsidP="009737CD">
      <w:pPr>
        <w:spacing w:after="120" w:line="360" w:lineRule="auto"/>
        <w:jc w:val="center"/>
        <w:rPr>
          <w:rFonts w:ascii="Arial" w:hAnsi="Arial" w:cs="Arial"/>
        </w:rPr>
      </w:pPr>
      <w:r>
        <w:rPr>
          <w:rFonts w:ascii="Arial" w:hAnsi="Arial" w:cs="Arial"/>
          <w:i/>
          <w:sz w:val="20"/>
          <w:szCs w:val="20"/>
        </w:rPr>
        <w:t> </w:t>
      </w:r>
      <w:r w:rsidR="00AE2AFA">
        <w:rPr>
          <w:rFonts w:ascii="Arial" w:hAnsi="Arial" w:cs="Arial"/>
          <w:i/>
          <w:sz w:val="20"/>
          <w:szCs w:val="20"/>
        </w:rPr>
        <w:t>S</w:t>
      </w:r>
      <w:r w:rsidR="009737CD" w:rsidRPr="00F4419C">
        <w:rPr>
          <w:rFonts w:ascii="Arial" w:hAnsi="Arial" w:cs="Arial"/>
          <w:i/>
          <w:sz w:val="20"/>
          <w:szCs w:val="20"/>
        </w:rPr>
        <w:t xml:space="preserve">ource : </w:t>
      </w:r>
      <w:r w:rsidR="003746ED">
        <w:rPr>
          <w:rFonts w:ascii="Arial" w:hAnsi="Arial" w:cs="Arial"/>
          <w:i/>
          <w:sz w:val="20"/>
          <w:szCs w:val="20"/>
        </w:rPr>
        <w:t>calculs</w:t>
      </w:r>
      <w:r w:rsidR="009737CD" w:rsidRPr="00F4419C">
        <w:rPr>
          <w:rFonts w:ascii="Arial" w:hAnsi="Arial" w:cs="Arial"/>
          <w:i/>
          <w:sz w:val="20"/>
          <w:szCs w:val="20"/>
        </w:rPr>
        <w:t xml:space="preserve"> FFB </w:t>
      </w:r>
      <w:r w:rsidR="003746ED">
        <w:rPr>
          <w:rFonts w:ascii="Arial" w:hAnsi="Arial" w:cs="Arial"/>
          <w:i/>
          <w:sz w:val="20"/>
          <w:szCs w:val="20"/>
        </w:rPr>
        <w:t xml:space="preserve">d’après </w:t>
      </w:r>
      <w:r w:rsidR="009737CD" w:rsidRPr="00F4419C">
        <w:rPr>
          <w:rFonts w:ascii="Arial" w:hAnsi="Arial" w:cs="Arial"/>
          <w:i/>
          <w:sz w:val="20"/>
          <w:szCs w:val="20"/>
        </w:rPr>
        <w:t>Insee</w:t>
      </w:r>
    </w:p>
    <w:p w14:paraId="6CCBA660" w14:textId="7EAB70E5" w:rsidR="009737CD" w:rsidRPr="00F4419C" w:rsidRDefault="009737CD" w:rsidP="009737CD">
      <w:pPr>
        <w:spacing w:after="120" w:line="360" w:lineRule="auto"/>
        <w:jc w:val="both"/>
        <w:rPr>
          <w:rFonts w:ascii="Arial" w:hAnsi="Arial" w:cs="Arial"/>
        </w:rPr>
      </w:pPr>
      <w:r w:rsidRPr="00F4419C">
        <w:rPr>
          <w:rFonts w:ascii="Arial" w:hAnsi="Arial" w:cs="Arial"/>
        </w:rPr>
        <w:lastRenderedPageBreak/>
        <w:t>De fait, les marges opérationnelles</w:t>
      </w:r>
      <w:r w:rsidR="004C63ED">
        <w:rPr>
          <w:rFonts w:ascii="Arial" w:hAnsi="Arial" w:cs="Arial"/>
        </w:rPr>
        <w:t xml:space="preserve"> (</w:t>
      </w:r>
      <w:r w:rsidRPr="00F4419C">
        <w:rPr>
          <w:rFonts w:ascii="Arial" w:hAnsi="Arial" w:cs="Arial"/>
        </w:rPr>
        <w:t xml:space="preserve">corrigées de la rémunération du travail des chefs d’entreprise </w:t>
      </w:r>
      <w:proofErr w:type="spellStart"/>
      <w:r w:rsidRPr="00F4419C">
        <w:rPr>
          <w:rFonts w:ascii="Arial" w:hAnsi="Arial" w:cs="Arial"/>
        </w:rPr>
        <w:t>non salariés</w:t>
      </w:r>
      <w:proofErr w:type="spellEnd"/>
      <w:r w:rsidR="004C63ED">
        <w:rPr>
          <w:rFonts w:ascii="Arial" w:hAnsi="Arial" w:cs="Arial"/>
        </w:rPr>
        <w:t>)</w:t>
      </w:r>
      <w:r w:rsidRPr="00F4419C">
        <w:rPr>
          <w:rFonts w:ascii="Arial" w:hAnsi="Arial" w:cs="Arial"/>
        </w:rPr>
        <w:t xml:space="preserve"> progressent d’environ </w:t>
      </w:r>
      <w:r>
        <w:rPr>
          <w:rFonts w:ascii="Arial" w:hAnsi="Arial" w:cs="Arial"/>
        </w:rPr>
        <w:t>1</w:t>
      </w:r>
      <w:r w:rsidRPr="00F4419C">
        <w:rPr>
          <w:rFonts w:ascii="Arial" w:hAnsi="Arial" w:cs="Arial"/>
        </w:rPr>
        <w:t xml:space="preserve"> </w:t>
      </w:r>
      <w:proofErr w:type="spellStart"/>
      <w:r w:rsidRPr="00F4419C">
        <w:rPr>
          <w:rFonts w:ascii="Arial" w:hAnsi="Arial" w:cs="Arial"/>
        </w:rPr>
        <w:t>ppct</w:t>
      </w:r>
      <w:proofErr w:type="spellEnd"/>
      <w:r w:rsidRPr="00F4419C">
        <w:rPr>
          <w:rFonts w:ascii="Arial" w:hAnsi="Arial" w:cs="Arial"/>
        </w:rPr>
        <w:t xml:space="preserve"> pour s’afficher à </w:t>
      </w:r>
      <w:r>
        <w:rPr>
          <w:rFonts w:ascii="Arial" w:hAnsi="Arial" w:cs="Arial"/>
        </w:rPr>
        <w:t xml:space="preserve">un peu plus de </w:t>
      </w:r>
      <w:r w:rsidRPr="00F4419C">
        <w:rPr>
          <w:rFonts w:ascii="Arial" w:hAnsi="Arial" w:cs="Arial"/>
        </w:rPr>
        <w:t>22</w:t>
      </w:r>
      <w:r>
        <w:rPr>
          <w:rFonts w:ascii="Arial" w:hAnsi="Arial" w:cs="Arial"/>
        </w:rPr>
        <w:t> %, les prix ayant progressé légèrement plus rapidement que les coûts</w:t>
      </w:r>
      <w:r w:rsidRPr="00F4419C">
        <w:rPr>
          <w:rFonts w:ascii="Arial" w:hAnsi="Arial" w:cs="Arial"/>
        </w:rPr>
        <w:t xml:space="preserve">. Néanmoins, elles s’affichent </w:t>
      </w:r>
      <w:r>
        <w:rPr>
          <w:rFonts w:ascii="Arial" w:hAnsi="Arial" w:cs="Arial"/>
        </w:rPr>
        <w:t xml:space="preserve">encore </w:t>
      </w:r>
      <w:r w:rsidR="004C63ED">
        <w:rPr>
          <w:rFonts w:ascii="Arial" w:hAnsi="Arial" w:cs="Arial"/>
        </w:rPr>
        <w:t>près</w:t>
      </w:r>
      <w:r w:rsidRPr="00F4419C">
        <w:rPr>
          <w:rFonts w:ascii="Arial" w:hAnsi="Arial" w:cs="Arial"/>
        </w:rPr>
        <w:t xml:space="preserve"> de </w:t>
      </w:r>
      <w:r>
        <w:rPr>
          <w:rFonts w:ascii="Arial" w:hAnsi="Arial" w:cs="Arial"/>
        </w:rPr>
        <w:t>5</w:t>
      </w:r>
      <w:r w:rsidRPr="00F4419C">
        <w:rPr>
          <w:rFonts w:ascii="Arial" w:hAnsi="Arial" w:cs="Arial"/>
        </w:rPr>
        <w:t xml:space="preserve"> </w:t>
      </w:r>
      <w:proofErr w:type="spellStart"/>
      <w:r w:rsidRPr="00F4419C">
        <w:rPr>
          <w:rFonts w:ascii="Arial" w:hAnsi="Arial" w:cs="Arial"/>
        </w:rPr>
        <w:t>ppct</w:t>
      </w:r>
      <w:proofErr w:type="spellEnd"/>
      <w:r w:rsidRPr="00F4419C">
        <w:rPr>
          <w:rFonts w:ascii="Arial" w:hAnsi="Arial" w:cs="Arial"/>
        </w:rPr>
        <w:t xml:space="preserve"> </w:t>
      </w:r>
      <w:r w:rsidR="004C63ED">
        <w:rPr>
          <w:rFonts w:ascii="Arial" w:hAnsi="Arial" w:cs="Arial"/>
        </w:rPr>
        <w:t>en dessous de</w:t>
      </w:r>
      <w:r>
        <w:rPr>
          <w:rFonts w:ascii="Arial" w:hAnsi="Arial" w:cs="Arial"/>
        </w:rPr>
        <w:t xml:space="preserve"> leur niveau de</w:t>
      </w:r>
      <w:r w:rsidRPr="00F4419C">
        <w:rPr>
          <w:rFonts w:ascii="Arial" w:hAnsi="Arial" w:cs="Arial"/>
        </w:rPr>
        <w:t xml:space="preserve"> 2019.</w:t>
      </w:r>
    </w:p>
    <w:p w14:paraId="5BBAA038" w14:textId="59214749" w:rsidR="009737CD" w:rsidRPr="00F4419C" w:rsidRDefault="009737CD" w:rsidP="009737CD">
      <w:pPr>
        <w:spacing w:after="120" w:line="360" w:lineRule="auto"/>
        <w:jc w:val="both"/>
        <w:rPr>
          <w:rFonts w:ascii="Arial" w:eastAsia="Calibri" w:hAnsi="Arial" w:cs="Arial"/>
          <w:color w:val="000000" w:themeColor="text1"/>
        </w:rPr>
      </w:pPr>
      <w:r>
        <w:rPr>
          <w:rFonts w:ascii="Arial" w:eastAsia="Calibri" w:hAnsi="Arial" w:cs="Arial"/>
          <w:color w:val="000000" w:themeColor="text1"/>
        </w:rPr>
        <w:t xml:space="preserve">S’agissant des coûts, il convient de noter que le poste </w:t>
      </w:r>
      <w:r w:rsidR="00F1618E">
        <w:rPr>
          <w:rFonts w:ascii="Arial" w:eastAsia="Calibri" w:hAnsi="Arial" w:cs="Arial"/>
          <w:color w:val="000000" w:themeColor="text1"/>
        </w:rPr>
        <w:t>« </w:t>
      </w:r>
      <w:r>
        <w:rPr>
          <w:rFonts w:ascii="Arial" w:eastAsia="Calibri" w:hAnsi="Arial" w:cs="Arial"/>
          <w:color w:val="000000" w:themeColor="text1"/>
        </w:rPr>
        <w:t>salaires</w:t>
      </w:r>
      <w:r w:rsidR="00F1618E">
        <w:rPr>
          <w:rFonts w:ascii="Arial" w:eastAsia="Calibri" w:hAnsi="Arial" w:cs="Arial"/>
          <w:color w:val="000000" w:themeColor="text1"/>
        </w:rPr>
        <w:t> »</w:t>
      </w:r>
      <w:r>
        <w:rPr>
          <w:rFonts w:ascii="Arial" w:eastAsia="Calibri" w:hAnsi="Arial" w:cs="Arial"/>
          <w:color w:val="000000" w:themeColor="text1"/>
        </w:rPr>
        <w:t xml:space="preserve"> accél</w:t>
      </w:r>
      <w:r w:rsidR="00F1618E">
        <w:rPr>
          <w:rFonts w:ascii="Arial" w:eastAsia="Calibri" w:hAnsi="Arial" w:cs="Arial"/>
          <w:color w:val="000000" w:themeColor="text1"/>
        </w:rPr>
        <w:t>ère</w:t>
      </w:r>
      <w:r>
        <w:rPr>
          <w:rFonts w:ascii="Arial" w:eastAsia="Calibri" w:hAnsi="Arial" w:cs="Arial"/>
          <w:color w:val="000000" w:themeColor="text1"/>
        </w:rPr>
        <w:t xml:space="preserve"> en 2023, d’environ 4 % sur l’ensemble de l’année, </w:t>
      </w:r>
      <w:r w:rsidR="00F1618E">
        <w:rPr>
          <w:rFonts w:ascii="Arial" w:eastAsia="Calibri" w:hAnsi="Arial" w:cs="Arial"/>
          <w:color w:val="000000" w:themeColor="text1"/>
        </w:rPr>
        <w:t>donc</w:t>
      </w:r>
      <w:r>
        <w:rPr>
          <w:rFonts w:ascii="Arial" w:eastAsia="Calibri" w:hAnsi="Arial" w:cs="Arial"/>
          <w:color w:val="000000" w:themeColor="text1"/>
        </w:rPr>
        <w:t xml:space="preserve"> légèrement en-deçà de l’inflation (5 %). </w:t>
      </w:r>
      <w:r w:rsidR="004C63ED">
        <w:rPr>
          <w:rFonts w:ascii="Arial" w:eastAsia="Calibri" w:hAnsi="Arial" w:cs="Arial"/>
          <w:color w:val="000000" w:themeColor="text1"/>
        </w:rPr>
        <w:t>Quant au</w:t>
      </w:r>
      <w:r>
        <w:rPr>
          <w:rFonts w:ascii="Arial" w:eastAsia="Calibri" w:hAnsi="Arial" w:cs="Arial"/>
          <w:color w:val="000000" w:themeColor="text1"/>
        </w:rPr>
        <w:t xml:space="preserve"> poste </w:t>
      </w:r>
      <w:r w:rsidR="00F1618E">
        <w:rPr>
          <w:rFonts w:ascii="Arial" w:eastAsia="Calibri" w:hAnsi="Arial" w:cs="Arial"/>
          <w:color w:val="000000" w:themeColor="text1"/>
        </w:rPr>
        <w:t>« </w:t>
      </w:r>
      <w:r>
        <w:rPr>
          <w:rFonts w:ascii="Arial" w:eastAsia="Calibri" w:hAnsi="Arial" w:cs="Arial"/>
          <w:color w:val="000000" w:themeColor="text1"/>
        </w:rPr>
        <w:t>matériaux</w:t>
      </w:r>
      <w:r w:rsidR="00F1618E">
        <w:rPr>
          <w:rFonts w:ascii="Arial" w:eastAsia="Calibri" w:hAnsi="Arial" w:cs="Arial"/>
          <w:color w:val="000000" w:themeColor="text1"/>
        </w:rPr>
        <w:t> », il</w:t>
      </w:r>
      <w:r>
        <w:rPr>
          <w:rFonts w:ascii="Arial" w:eastAsia="Calibri" w:hAnsi="Arial" w:cs="Arial"/>
          <w:color w:val="000000" w:themeColor="text1"/>
        </w:rPr>
        <w:t xml:space="preserve"> </w:t>
      </w:r>
      <w:r w:rsidR="00F1618E">
        <w:rPr>
          <w:rFonts w:ascii="Arial" w:eastAsia="Calibri" w:hAnsi="Arial" w:cs="Arial"/>
          <w:color w:val="000000" w:themeColor="text1"/>
        </w:rPr>
        <w:t xml:space="preserve">s’affiche globalement en net recul, en ligne avec l’évolution </w:t>
      </w:r>
      <w:r w:rsidR="007E3137">
        <w:rPr>
          <w:rFonts w:ascii="Arial" w:eastAsia="Calibri" w:hAnsi="Arial" w:cs="Arial"/>
          <w:color w:val="000000" w:themeColor="text1"/>
        </w:rPr>
        <w:t>d</w:t>
      </w:r>
      <w:r>
        <w:rPr>
          <w:rFonts w:ascii="Arial" w:eastAsia="Calibri" w:hAnsi="Arial" w:cs="Arial"/>
          <w:color w:val="000000" w:themeColor="text1"/>
        </w:rPr>
        <w:t>es prix de production d’un certain nombre d’entre eux (cf. graphique 1</w:t>
      </w:r>
      <w:r w:rsidR="00F1618E">
        <w:rPr>
          <w:rFonts w:ascii="Arial" w:eastAsia="Calibri" w:hAnsi="Arial" w:cs="Arial"/>
          <w:color w:val="000000" w:themeColor="text1"/>
        </w:rPr>
        <w:t>0</w:t>
      </w:r>
      <w:r>
        <w:rPr>
          <w:rFonts w:ascii="Arial" w:eastAsia="Calibri" w:hAnsi="Arial" w:cs="Arial"/>
          <w:color w:val="000000" w:themeColor="text1"/>
        </w:rPr>
        <w:t xml:space="preserve">). Pour autant, </w:t>
      </w:r>
      <w:r w:rsidR="00F1618E">
        <w:rPr>
          <w:rFonts w:ascii="Arial" w:eastAsia="Calibri" w:hAnsi="Arial" w:cs="Arial"/>
          <w:color w:val="000000" w:themeColor="text1"/>
        </w:rPr>
        <w:t xml:space="preserve">ces prix </w:t>
      </w:r>
      <w:r>
        <w:rPr>
          <w:rFonts w:ascii="Arial" w:eastAsia="Calibri" w:hAnsi="Arial" w:cs="Arial"/>
          <w:color w:val="000000" w:themeColor="text1"/>
        </w:rPr>
        <w:t xml:space="preserve">restent </w:t>
      </w:r>
      <w:r w:rsidRPr="00F4419C">
        <w:rPr>
          <w:rFonts w:ascii="Arial" w:eastAsia="Calibri" w:hAnsi="Arial" w:cs="Arial"/>
          <w:color w:val="000000" w:themeColor="text1"/>
        </w:rPr>
        <w:t>30</w:t>
      </w:r>
      <w:r w:rsidR="00F1618E">
        <w:rPr>
          <w:rFonts w:ascii="Arial" w:eastAsia="Calibri" w:hAnsi="Arial" w:cs="Arial"/>
          <w:color w:val="000000" w:themeColor="text1"/>
        </w:rPr>
        <w:t> </w:t>
      </w:r>
      <w:r w:rsidRPr="00F4419C">
        <w:rPr>
          <w:rFonts w:ascii="Arial" w:eastAsia="Calibri" w:hAnsi="Arial" w:cs="Arial"/>
          <w:color w:val="000000" w:themeColor="text1"/>
        </w:rPr>
        <w:t>% à 40</w:t>
      </w:r>
      <w:r>
        <w:rPr>
          <w:rFonts w:ascii="Arial" w:eastAsia="Calibri" w:hAnsi="Arial" w:cs="Arial"/>
          <w:color w:val="000000" w:themeColor="text1"/>
        </w:rPr>
        <w:t> </w:t>
      </w:r>
      <w:r w:rsidRPr="00F4419C">
        <w:rPr>
          <w:rFonts w:ascii="Arial" w:eastAsia="Calibri" w:hAnsi="Arial" w:cs="Arial"/>
          <w:color w:val="000000" w:themeColor="text1"/>
        </w:rPr>
        <w:t>% au-</w:t>
      </w:r>
      <w:r>
        <w:rPr>
          <w:rFonts w:ascii="Arial" w:eastAsia="Calibri" w:hAnsi="Arial" w:cs="Arial"/>
          <w:color w:val="000000" w:themeColor="text1"/>
        </w:rPr>
        <w:t>dessus</w:t>
      </w:r>
      <w:r w:rsidRPr="00F4419C">
        <w:rPr>
          <w:rFonts w:ascii="Arial" w:eastAsia="Calibri" w:hAnsi="Arial" w:cs="Arial"/>
          <w:color w:val="000000" w:themeColor="text1"/>
        </w:rPr>
        <w:t xml:space="preserve"> de leur niveau de 2019.</w:t>
      </w:r>
    </w:p>
    <w:p w14:paraId="463407EB" w14:textId="26481E55" w:rsidR="009737CD" w:rsidRPr="00F4419C" w:rsidRDefault="009737CD" w:rsidP="009737CD">
      <w:pPr>
        <w:spacing w:after="0" w:line="360" w:lineRule="auto"/>
        <w:jc w:val="center"/>
        <w:rPr>
          <w:rFonts w:ascii="Arial" w:hAnsi="Arial" w:cs="Arial"/>
          <w:color w:val="000000" w:themeColor="text1"/>
        </w:rPr>
      </w:pPr>
      <w:r w:rsidRPr="00F4419C">
        <w:rPr>
          <w:rFonts w:ascii="Arial" w:hAnsi="Arial" w:cs="Arial"/>
          <w:color w:val="000000" w:themeColor="text1"/>
        </w:rPr>
        <w:t>Graphique 1</w:t>
      </w:r>
      <w:r w:rsidR="00F1618E">
        <w:rPr>
          <w:rFonts w:ascii="Arial" w:hAnsi="Arial" w:cs="Arial"/>
          <w:color w:val="000000" w:themeColor="text1"/>
        </w:rPr>
        <w:t>0</w:t>
      </w:r>
      <w:r w:rsidRPr="00F4419C">
        <w:rPr>
          <w:rFonts w:ascii="Arial" w:hAnsi="Arial" w:cs="Arial"/>
          <w:color w:val="000000" w:themeColor="text1"/>
        </w:rPr>
        <w:t xml:space="preserve"> – </w:t>
      </w:r>
      <w:r w:rsidRPr="00F4419C">
        <w:rPr>
          <w:rFonts w:ascii="Arial" w:hAnsi="Arial" w:cs="Arial"/>
          <w:b/>
          <w:color w:val="000000" w:themeColor="text1"/>
        </w:rPr>
        <w:t>Indices de prix de production de quelques matériaux pour le marché français</w:t>
      </w:r>
    </w:p>
    <w:p w14:paraId="5520A726" w14:textId="77777777" w:rsidR="009737CD" w:rsidRPr="00F4419C" w:rsidRDefault="009737CD" w:rsidP="009737CD">
      <w:pPr>
        <w:spacing w:after="60" w:line="240" w:lineRule="auto"/>
        <w:jc w:val="center"/>
        <w:rPr>
          <w:rFonts w:ascii="Arial" w:hAnsi="Arial" w:cs="Arial"/>
          <w:color w:val="000000" w:themeColor="text1"/>
        </w:rPr>
      </w:pPr>
      <w:r w:rsidRPr="005E3C77">
        <w:rPr>
          <w:rFonts w:ascii="Arial" w:hAnsi="Arial" w:cs="Arial"/>
          <w:noProof/>
          <w:color w:val="000000" w:themeColor="text1"/>
        </w:rPr>
        <w:drawing>
          <wp:inline distT="0" distB="0" distL="0" distR="0" wp14:anchorId="384864A8" wp14:editId="4C4A6356">
            <wp:extent cx="5760720" cy="2939415"/>
            <wp:effectExtent l="0" t="0" r="0" b="0"/>
            <wp:docPr id="12845866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939415"/>
                    </a:xfrm>
                    <a:prstGeom prst="rect">
                      <a:avLst/>
                    </a:prstGeom>
                    <a:noFill/>
                    <a:ln>
                      <a:noFill/>
                    </a:ln>
                  </pic:spPr>
                </pic:pic>
              </a:graphicData>
            </a:graphic>
          </wp:inline>
        </w:drawing>
      </w:r>
    </w:p>
    <w:p w14:paraId="60B94268" w14:textId="6CB8926F" w:rsidR="009737CD" w:rsidRPr="00B46983" w:rsidRDefault="009737CD" w:rsidP="009737CD">
      <w:pPr>
        <w:spacing w:after="120" w:line="360" w:lineRule="auto"/>
        <w:jc w:val="center"/>
        <w:rPr>
          <w:rFonts w:ascii="Arial" w:hAnsi="Arial" w:cs="Arial"/>
          <w:i/>
          <w:color w:val="000000" w:themeColor="text1"/>
          <w:sz w:val="20"/>
        </w:rPr>
      </w:pPr>
      <w:r w:rsidRPr="00F4419C">
        <w:rPr>
          <w:rFonts w:ascii="Arial" w:hAnsi="Arial" w:cs="Arial"/>
          <w:i/>
          <w:color w:val="000000" w:themeColor="text1"/>
          <w:sz w:val="20"/>
        </w:rPr>
        <w:t>Source : calculs FFB d’après Insee</w:t>
      </w:r>
    </w:p>
    <w:p w14:paraId="6F262945" w14:textId="1290C1BA" w:rsidR="00BD53DD" w:rsidRPr="00C06953" w:rsidRDefault="00BD53DD" w:rsidP="00BD53DD">
      <w:pPr>
        <w:spacing w:before="480" w:after="120" w:line="360" w:lineRule="auto"/>
        <w:jc w:val="both"/>
        <w:rPr>
          <w:rFonts w:ascii="Arial" w:eastAsia="Calibri" w:hAnsi="Arial" w:cs="Arial"/>
          <w:b/>
          <w:sz w:val="28"/>
          <w:szCs w:val="28"/>
          <w:u w:val="single"/>
        </w:rPr>
      </w:pPr>
      <w:r w:rsidRPr="00C06953">
        <w:rPr>
          <w:rFonts w:ascii="Arial" w:eastAsia="Calibri" w:hAnsi="Arial" w:cs="Arial"/>
          <w:b/>
          <w:sz w:val="28"/>
          <w:szCs w:val="28"/>
          <w:u w:val="single"/>
        </w:rPr>
        <w:t>2. Le contexte macroéconomique pour 202</w:t>
      </w:r>
      <w:r w:rsidR="009737CD">
        <w:rPr>
          <w:rFonts w:ascii="Arial" w:eastAsia="Calibri" w:hAnsi="Arial" w:cs="Arial"/>
          <w:b/>
          <w:sz w:val="28"/>
          <w:szCs w:val="28"/>
          <w:u w:val="single"/>
        </w:rPr>
        <w:t>4</w:t>
      </w:r>
    </w:p>
    <w:p w14:paraId="57D29467" w14:textId="7FB44034" w:rsidR="005620F5" w:rsidRPr="00A206AE" w:rsidRDefault="00F1618E" w:rsidP="005620F5">
      <w:pPr>
        <w:spacing w:line="360" w:lineRule="auto"/>
        <w:jc w:val="both"/>
        <w:rPr>
          <w:rFonts w:ascii="Arial" w:eastAsia="Calibri" w:hAnsi="Arial" w:cs="Arial"/>
          <w:color w:val="000000" w:themeColor="text1"/>
        </w:rPr>
      </w:pPr>
      <w:r>
        <w:rPr>
          <w:rFonts w:ascii="Arial" w:eastAsia="Calibri" w:hAnsi="Arial" w:cs="Arial"/>
          <w:color w:val="000000" w:themeColor="text1"/>
        </w:rPr>
        <w:t>L</w:t>
      </w:r>
      <w:r w:rsidR="005620F5" w:rsidRPr="00A206AE">
        <w:rPr>
          <w:rFonts w:ascii="Arial" w:eastAsia="Calibri" w:hAnsi="Arial" w:cs="Arial"/>
          <w:color w:val="000000" w:themeColor="text1"/>
        </w:rPr>
        <w:t xml:space="preserve">a croissance économique française ralentirait </w:t>
      </w:r>
      <w:r w:rsidR="005620F5">
        <w:rPr>
          <w:rFonts w:ascii="Arial" w:eastAsia="Calibri" w:hAnsi="Arial" w:cs="Arial"/>
          <w:color w:val="000000" w:themeColor="text1"/>
        </w:rPr>
        <w:t>encore en 2024</w:t>
      </w:r>
      <w:r w:rsidR="005620F5" w:rsidRPr="00A206AE">
        <w:rPr>
          <w:rFonts w:ascii="Arial" w:eastAsia="Calibri" w:hAnsi="Arial" w:cs="Arial"/>
          <w:color w:val="000000" w:themeColor="text1"/>
        </w:rPr>
        <w:t>, pour tomber à +0,4 %</w:t>
      </w:r>
      <w:r w:rsidR="005620F5">
        <w:rPr>
          <w:rFonts w:ascii="Arial" w:eastAsia="Calibri" w:hAnsi="Arial" w:cs="Arial"/>
          <w:color w:val="000000" w:themeColor="text1"/>
        </w:rPr>
        <w:t xml:space="preserve"> en volume</w:t>
      </w:r>
      <w:r w:rsidR="005620F5" w:rsidRPr="00A206AE">
        <w:rPr>
          <w:rFonts w:ascii="Arial" w:eastAsia="Calibri" w:hAnsi="Arial" w:cs="Arial"/>
          <w:color w:val="000000" w:themeColor="text1"/>
        </w:rPr>
        <w:t xml:space="preserve"> (cf. tableau 1)</w:t>
      </w:r>
      <w:r w:rsidR="005620F5">
        <w:rPr>
          <w:rFonts w:ascii="Arial" w:eastAsia="Calibri" w:hAnsi="Arial" w:cs="Arial"/>
          <w:color w:val="000000" w:themeColor="text1"/>
        </w:rPr>
        <w:t xml:space="preserve">. De manière globale, la demande interne ressortirait </w:t>
      </w:r>
      <w:r>
        <w:rPr>
          <w:rFonts w:ascii="Arial" w:eastAsia="Calibri" w:hAnsi="Arial" w:cs="Arial"/>
          <w:color w:val="000000" w:themeColor="text1"/>
        </w:rPr>
        <w:t>moins porteuse</w:t>
      </w:r>
      <w:r w:rsidR="005620F5">
        <w:rPr>
          <w:rFonts w:ascii="Arial" w:eastAsia="Calibri" w:hAnsi="Arial" w:cs="Arial"/>
          <w:color w:val="000000" w:themeColor="text1"/>
        </w:rPr>
        <w:t xml:space="preserve"> et le commerce extérieur</w:t>
      </w:r>
      <w:r>
        <w:rPr>
          <w:rFonts w:ascii="Arial" w:eastAsia="Calibri" w:hAnsi="Arial" w:cs="Arial"/>
          <w:color w:val="000000" w:themeColor="text1"/>
        </w:rPr>
        <w:t>,</w:t>
      </w:r>
      <w:r w:rsidR="005620F5">
        <w:rPr>
          <w:rFonts w:ascii="Arial" w:eastAsia="Calibri" w:hAnsi="Arial" w:cs="Arial"/>
          <w:color w:val="000000" w:themeColor="text1"/>
        </w:rPr>
        <w:t xml:space="preserve"> peu dynamique. </w:t>
      </w:r>
    </w:p>
    <w:p w14:paraId="77AE24D0" w14:textId="6E53A6A3" w:rsidR="00BD1B72" w:rsidRDefault="00BD1B72">
      <w:pPr>
        <w:rPr>
          <w:rFonts w:ascii="Arial" w:eastAsia="Calibri" w:hAnsi="Arial" w:cs="Arial"/>
          <w:color w:val="000000" w:themeColor="text1"/>
        </w:rPr>
      </w:pPr>
    </w:p>
    <w:p w14:paraId="4014FCB4" w14:textId="77777777" w:rsidR="00E0491E" w:rsidRDefault="00E0491E">
      <w:pPr>
        <w:rPr>
          <w:rFonts w:ascii="Arial" w:eastAsia="Calibri" w:hAnsi="Arial" w:cs="Arial"/>
          <w:color w:val="000000" w:themeColor="text1"/>
        </w:rPr>
      </w:pPr>
      <w:r>
        <w:rPr>
          <w:rFonts w:ascii="Arial" w:eastAsia="Calibri" w:hAnsi="Arial" w:cs="Arial"/>
          <w:color w:val="000000" w:themeColor="text1"/>
        </w:rPr>
        <w:br w:type="page"/>
      </w:r>
    </w:p>
    <w:p w14:paraId="44941846" w14:textId="088A636D" w:rsidR="005620F5" w:rsidRPr="00A225E1" w:rsidRDefault="005620F5" w:rsidP="005620F5">
      <w:pPr>
        <w:spacing w:after="0" w:line="360" w:lineRule="auto"/>
        <w:jc w:val="center"/>
        <w:rPr>
          <w:rFonts w:ascii="Arial" w:eastAsia="Calibri" w:hAnsi="Arial" w:cs="Arial"/>
          <w:b/>
          <w:color w:val="000000" w:themeColor="text1"/>
        </w:rPr>
      </w:pPr>
      <w:r w:rsidRPr="00157DD3">
        <w:rPr>
          <w:rFonts w:ascii="Arial" w:eastAsia="Calibri" w:hAnsi="Arial" w:cs="Arial"/>
          <w:color w:val="000000" w:themeColor="text1"/>
        </w:rPr>
        <w:lastRenderedPageBreak/>
        <w:t xml:space="preserve">Tableau 1 – </w:t>
      </w:r>
      <w:r w:rsidRPr="00157DD3">
        <w:rPr>
          <w:rFonts w:ascii="Arial" w:eastAsia="Calibri" w:hAnsi="Arial" w:cs="Arial"/>
          <w:b/>
          <w:color w:val="000000" w:themeColor="text1"/>
        </w:rPr>
        <w:t>Le scénario macroéconomique 2024 retenu par la FFB</w:t>
      </w:r>
    </w:p>
    <w:p w14:paraId="0073FBA4" w14:textId="77777777" w:rsidR="005620F5" w:rsidRPr="00A225E1" w:rsidRDefault="005620F5" w:rsidP="005620F5">
      <w:pPr>
        <w:spacing w:after="60" w:line="240" w:lineRule="auto"/>
        <w:jc w:val="center"/>
        <w:rPr>
          <w:rFonts w:ascii="Arial" w:eastAsia="Calibri" w:hAnsi="Arial" w:cs="Arial"/>
          <w:i/>
          <w:color w:val="FF0000"/>
          <w:sz w:val="20"/>
          <w:szCs w:val="20"/>
        </w:rPr>
      </w:pPr>
      <w:r w:rsidRPr="00305D04">
        <w:rPr>
          <w:noProof/>
        </w:rPr>
        <w:drawing>
          <wp:inline distT="0" distB="0" distL="0" distR="0" wp14:anchorId="15060548" wp14:editId="23055454">
            <wp:extent cx="5676900" cy="2647950"/>
            <wp:effectExtent l="0" t="0" r="0" b="0"/>
            <wp:docPr id="1489960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6900" cy="2647950"/>
                    </a:xfrm>
                    <a:prstGeom prst="rect">
                      <a:avLst/>
                    </a:prstGeom>
                    <a:noFill/>
                    <a:ln>
                      <a:noFill/>
                    </a:ln>
                  </pic:spPr>
                </pic:pic>
              </a:graphicData>
            </a:graphic>
          </wp:inline>
        </w:drawing>
      </w:r>
    </w:p>
    <w:p w14:paraId="7C897D9E" w14:textId="7FD6A122" w:rsidR="005620F5" w:rsidRPr="00157DD3" w:rsidRDefault="005620F5" w:rsidP="005620F5">
      <w:pPr>
        <w:spacing w:after="120" w:line="360" w:lineRule="auto"/>
        <w:jc w:val="center"/>
        <w:rPr>
          <w:rFonts w:ascii="Arial" w:eastAsia="Calibri" w:hAnsi="Arial" w:cs="Arial"/>
          <w:color w:val="000000" w:themeColor="text1"/>
        </w:rPr>
      </w:pPr>
      <w:r w:rsidRPr="00157DD3">
        <w:rPr>
          <w:rFonts w:ascii="Arial" w:eastAsia="Calibri" w:hAnsi="Arial" w:cs="Arial"/>
          <w:i/>
          <w:color w:val="000000" w:themeColor="text1"/>
          <w:sz w:val="20"/>
          <w:szCs w:val="20"/>
        </w:rPr>
        <w:t>Source : FFB</w:t>
      </w:r>
    </w:p>
    <w:p w14:paraId="41A51BB3" w14:textId="0B9360E9" w:rsidR="005620F5" w:rsidRPr="00305D04"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En détail, l</w:t>
      </w:r>
      <w:r w:rsidRPr="00305D04">
        <w:rPr>
          <w:rFonts w:ascii="Arial" w:eastAsia="Calibri" w:hAnsi="Arial" w:cs="Arial"/>
          <w:color w:val="000000" w:themeColor="text1"/>
        </w:rPr>
        <w:t>es dépenses de consommation des ménages accéléreraient à +1,0</w:t>
      </w:r>
      <w:r>
        <w:rPr>
          <w:rFonts w:ascii="Arial" w:eastAsia="Calibri" w:hAnsi="Arial" w:cs="Arial"/>
          <w:color w:val="000000" w:themeColor="text1"/>
        </w:rPr>
        <w:t> %</w:t>
      </w:r>
      <w:r w:rsidRPr="00305D04">
        <w:rPr>
          <w:rFonts w:ascii="Arial" w:eastAsia="Calibri" w:hAnsi="Arial" w:cs="Arial"/>
          <w:color w:val="000000" w:themeColor="text1"/>
        </w:rPr>
        <w:t>. Elles bénéficieraient du ralentissement progressif de l’inflation</w:t>
      </w:r>
      <w:r>
        <w:rPr>
          <w:rFonts w:ascii="Arial" w:eastAsia="Calibri" w:hAnsi="Arial" w:cs="Arial"/>
          <w:color w:val="000000" w:themeColor="text1"/>
        </w:rPr>
        <w:t xml:space="preserve"> et</w:t>
      </w:r>
      <w:r w:rsidRPr="00305D04">
        <w:rPr>
          <w:rFonts w:ascii="Arial" w:eastAsia="Calibri" w:hAnsi="Arial" w:cs="Arial"/>
          <w:color w:val="000000" w:themeColor="text1"/>
        </w:rPr>
        <w:t xml:space="preserve"> de la hausse</w:t>
      </w:r>
      <w:r w:rsidRPr="005C763A">
        <w:rPr>
          <w:rFonts w:ascii="Arial" w:eastAsia="Calibri" w:hAnsi="Arial" w:cs="Arial"/>
          <w:color w:val="000000" w:themeColor="text1"/>
        </w:rPr>
        <w:t xml:space="preserve"> </w:t>
      </w:r>
      <w:r w:rsidRPr="00305D04">
        <w:rPr>
          <w:rFonts w:ascii="Arial" w:eastAsia="Calibri" w:hAnsi="Arial" w:cs="Arial"/>
          <w:color w:val="000000" w:themeColor="text1"/>
        </w:rPr>
        <w:t>des salaires réels</w:t>
      </w:r>
      <w:r w:rsidR="00F1618E">
        <w:rPr>
          <w:rFonts w:ascii="Arial" w:eastAsia="Calibri" w:hAnsi="Arial" w:cs="Arial"/>
          <w:color w:val="000000" w:themeColor="text1"/>
        </w:rPr>
        <w:t>, les salaires nominaux s’adaptant avec retard à la hausse comme à la baisse</w:t>
      </w:r>
      <w:r>
        <w:rPr>
          <w:rFonts w:ascii="Arial" w:eastAsia="Calibri" w:hAnsi="Arial" w:cs="Arial"/>
          <w:color w:val="000000" w:themeColor="text1"/>
        </w:rPr>
        <w:t>. En conséquence, le</w:t>
      </w:r>
      <w:r w:rsidRPr="00305D04">
        <w:rPr>
          <w:rFonts w:ascii="Arial" w:eastAsia="Calibri" w:hAnsi="Arial" w:cs="Arial"/>
          <w:color w:val="000000" w:themeColor="text1"/>
        </w:rPr>
        <w:t xml:space="preserve"> taux d’épargne</w:t>
      </w:r>
      <w:r>
        <w:rPr>
          <w:rFonts w:ascii="Arial" w:eastAsia="Calibri" w:hAnsi="Arial" w:cs="Arial"/>
          <w:color w:val="000000" w:themeColor="text1"/>
        </w:rPr>
        <w:t xml:space="preserve"> des ménages </w:t>
      </w:r>
      <w:r w:rsidR="00F1618E">
        <w:rPr>
          <w:rFonts w:ascii="Arial" w:eastAsia="Calibri" w:hAnsi="Arial" w:cs="Arial"/>
          <w:color w:val="000000" w:themeColor="text1"/>
        </w:rPr>
        <w:t>s’érod</w:t>
      </w:r>
      <w:r>
        <w:rPr>
          <w:rFonts w:ascii="Arial" w:eastAsia="Calibri" w:hAnsi="Arial" w:cs="Arial"/>
          <w:color w:val="000000" w:themeColor="text1"/>
        </w:rPr>
        <w:t xml:space="preserve">erait de </w:t>
      </w:r>
      <w:r w:rsidRPr="00305D04">
        <w:rPr>
          <w:rFonts w:ascii="Arial" w:eastAsia="Calibri" w:hAnsi="Arial" w:cs="Arial"/>
          <w:color w:val="000000" w:themeColor="text1"/>
        </w:rPr>
        <w:t xml:space="preserve">0,7 </w:t>
      </w:r>
      <w:proofErr w:type="spellStart"/>
      <w:r w:rsidRPr="00305D04">
        <w:rPr>
          <w:rFonts w:ascii="Arial" w:eastAsia="Calibri" w:hAnsi="Arial" w:cs="Arial"/>
          <w:color w:val="000000" w:themeColor="text1"/>
        </w:rPr>
        <w:t>ppct</w:t>
      </w:r>
      <w:proofErr w:type="spellEnd"/>
      <w:r w:rsidRPr="00305D04">
        <w:rPr>
          <w:rFonts w:ascii="Arial" w:eastAsia="Calibri" w:hAnsi="Arial" w:cs="Arial"/>
          <w:color w:val="000000" w:themeColor="text1"/>
        </w:rPr>
        <w:t xml:space="preserve"> pour tomber à 17,0 %, niveau qui reste supérieur à </w:t>
      </w:r>
      <w:r w:rsidR="00F1618E">
        <w:rPr>
          <w:rFonts w:ascii="Arial" w:eastAsia="Calibri" w:hAnsi="Arial" w:cs="Arial"/>
          <w:color w:val="000000" w:themeColor="text1"/>
        </w:rPr>
        <w:t>l</w:t>
      </w:r>
      <w:r w:rsidRPr="00305D04">
        <w:rPr>
          <w:rFonts w:ascii="Arial" w:eastAsia="Calibri" w:hAnsi="Arial" w:cs="Arial"/>
          <w:color w:val="000000" w:themeColor="text1"/>
        </w:rPr>
        <w:t>a moyenne de long terme</w:t>
      </w:r>
      <w:r>
        <w:rPr>
          <w:rFonts w:ascii="Arial" w:eastAsia="Calibri" w:hAnsi="Arial" w:cs="Arial"/>
          <w:color w:val="000000" w:themeColor="text1"/>
        </w:rPr>
        <w:t xml:space="preserve"> (14,9 %)</w:t>
      </w:r>
      <w:r w:rsidRPr="00305D04">
        <w:rPr>
          <w:rFonts w:ascii="Arial" w:eastAsia="Calibri" w:hAnsi="Arial" w:cs="Arial"/>
          <w:color w:val="000000" w:themeColor="text1"/>
        </w:rPr>
        <w:t xml:space="preserve">. </w:t>
      </w:r>
    </w:p>
    <w:p w14:paraId="7624666F" w14:textId="7004BB7C" w:rsidR="005620F5" w:rsidRPr="00781285"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Quant à l</w:t>
      </w:r>
      <w:r w:rsidRPr="00305D04">
        <w:rPr>
          <w:rFonts w:ascii="Arial" w:eastAsia="Calibri" w:hAnsi="Arial" w:cs="Arial"/>
          <w:color w:val="000000" w:themeColor="text1"/>
        </w:rPr>
        <w:t xml:space="preserve">’investissement total, </w:t>
      </w:r>
      <w:r>
        <w:rPr>
          <w:rFonts w:ascii="Arial" w:eastAsia="Calibri" w:hAnsi="Arial" w:cs="Arial"/>
          <w:color w:val="000000" w:themeColor="text1"/>
        </w:rPr>
        <w:t>il</w:t>
      </w:r>
      <w:r w:rsidRPr="00305D04">
        <w:rPr>
          <w:rFonts w:ascii="Arial" w:eastAsia="Calibri" w:hAnsi="Arial" w:cs="Arial"/>
          <w:color w:val="000000" w:themeColor="text1"/>
        </w:rPr>
        <w:t xml:space="preserve"> </w:t>
      </w:r>
      <w:r>
        <w:rPr>
          <w:rFonts w:ascii="Arial" w:eastAsia="Calibri" w:hAnsi="Arial" w:cs="Arial"/>
          <w:color w:val="000000" w:themeColor="text1"/>
        </w:rPr>
        <w:t>s’infléchirait</w:t>
      </w:r>
      <w:r w:rsidRPr="00305D04">
        <w:rPr>
          <w:rFonts w:ascii="Arial" w:eastAsia="Calibri" w:hAnsi="Arial" w:cs="Arial"/>
          <w:color w:val="000000" w:themeColor="text1"/>
        </w:rPr>
        <w:t xml:space="preserve"> de 1,4 %.</w:t>
      </w:r>
      <w:r w:rsidRPr="00921514">
        <w:rPr>
          <w:rFonts w:ascii="Arial" w:eastAsia="Calibri" w:hAnsi="Arial" w:cs="Arial"/>
          <w:color w:val="000000" w:themeColor="text1"/>
        </w:rPr>
        <w:t xml:space="preserve"> </w:t>
      </w:r>
      <w:r>
        <w:rPr>
          <w:rFonts w:ascii="Arial" w:eastAsia="Calibri" w:hAnsi="Arial" w:cs="Arial"/>
          <w:color w:val="000000" w:themeColor="text1"/>
        </w:rPr>
        <w:t>Plus précisément</w:t>
      </w:r>
      <w:r w:rsidRPr="00305D04">
        <w:rPr>
          <w:rFonts w:ascii="Arial" w:eastAsia="Calibri" w:hAnsi="Arial" w:cs="Arial"/>
          <w:color w:val="000000" w:themeColor="text1"/>
        </w:rPr>
        <w:t xml:space="preserve">, </w:t>
      </w:r>
      <w:r>
        <w:rPr>
          <w:rFonts w:ascii="Arial" w:eastAsia="Calibri" w:hAnsi="Arial" w:cs="Arial"/>
          <w:color w:val="000000" w:themeColor="text1"/>
        </w:rPr>
        <w:t xml:space="preserve">après une belle dynamique en 2022 et 2023 </w:t>
      </w:r>
      <w:r w:rsidR="00FE3F48">
        <w:rPr>
          <w:rFonts w:ascii="Arial" w:eastAsia="Calibri" w:hAnsi="Arial" w:cs="Arial"/>
          <w:color w:val="000000" w:themeColor="text1"/>
        </w:rPr>
        <w:t>(</w:t>
      </w:r>
      <w:r>
        <w:rPr>
          <w:rFonts w:ascii="Arial" w:eastAsia="Calibri" w:hAnsi="Arial" w:cs="Arial"/>
          <w:color w:val="000000" w:themeColor="text1"/>
        </w:rPr>
        <w:t>au-delà de +3 % l’an</w:t>
      </w:r>
      <w:r w:rsidR="00FE3F48">
        <w:rPr>
          <w:rFonts w:ascii="Arial" w:eastAsia="Calibri" w:hAnsi="Arial" w:cs="Arial"/>
          <w:color w:val="000000" w:themeColor="text1"/>
        </w:rPr>
        <w:t>)</w:t>
      </w:r>
      <w:r>
        <w:rPr>
          <w:rFonts w:ascii="Arial" w:eastAsia="Calibri" w:hAnsi="Arial" w:cs="Arial"/>
          <w:color w:val="000000" w:themeColor="text1"/>
        </w:rPr>
        <w:t xml:space="preserve">, </w:t>
      </w:r>
      <w:r w:rsidR="00FE3F48">
        <w:rPr>
          <w:rFonts w:ascii="Arial" w:eastAsia="Calibri" w:hAnsi="Arial" w:cs="Arial"/>
          <w:color w:val="000000" w:themeColor="text1"/>
        </w:rPr>
        <w:t>celui des</w:t>
      </w:r>
      <w:r>
        <w:rPr>
          <w:rFonts w:ascii="Arial" w:eastAsia="Calibri" w:hAnsi="Arial" w:cs="Arial"/>
          <w:color w:val="000000" w:themeColor="text1"/>
        </w:rPr>
        <w:t xml:space="preserve"> entreprises </w:t>
      </w:r>
      <w:r w:rsidRPr="00305D04">
        <w:rPr>
          <w:rFonts w:ascii="Arial" w:eastAsia="Calibri" w:hAnsi="Arial" w:cs="Arial"/>
          <w:color w:val="000000" w:themeColor="text1"/>
        </w:rPr>
        <w:t>se stabiliser</w:t>
      </w:r>
      <w:r w:rsidR="00FE3F48">
        <w:rPr>
          <w:rFonts w:ascii="Arial" w:eastAsia="Calibri" w:hAnsi="Arial" w:cs="Arial"/>
          <w:color w:val="000000" w:themeColor="text1"/>
        </w:rPr>
        <w:t>ait</w:t>
      </w:r>
      <w:r>
        <w:rPr>
          <w:rFonts w:ascii="Arial" w:eastAsia="Calibri" w:hAnsi="Arial" w:cs="Arial"/>
          <w:color w:val="000000" w:themeColor="text1"/>
        </w:rPr>
        <w:t xml:space="preserve"> en 2024, compte tenu de la dégradation du</w:t>
      </w:r>
      <w:r w:rsidRPr="00305D04">
        <w:rPr>
          <w:rFonts w:ascii="Arial" w:eastAsia="Calibri" w:hAnsi="Arial" w:cs="Arial"/>
          <w:color w:val="000000" w:themeColor="text1"/>
        </w:rPr>
        <w:t xml:space="preserve"> climat des affaires</w:t>
      </w:r>
      <w:r>
        <w:rPr>
          <w:rFonts w:ascii="Arial" w:eastAsia="Calibri" w:hAnsi="Arial" w:cs="Arial"/>
          <w:color w:val="000000" w:themeColor="text1"/>
        </w:rPr>
        <w:t xml:space="preserve"> et, dans une moindre mesure,</w:t>
      </w:r>
      <w:r w:rsidRPr="00305D04">
        <w:rPr>
          <w:rFonts w:ascii="Arial" w:eastAsia="Calibri" w:hAnsi="Arial" w:cs="Arial"/>
          <w:color w:val="000000" w:themeColor="text1"/>
        </w:rPr>
        <w:t xml:space="preserve"> </w:t>
      </w:r>
      <w:r>
        <w:rPr>
          <w:rFonts w:ascii="Arial" w:eastAsia="Calibri" w:hAnsi="Arial" w:cs="Arial"/>
          <w:color w:val="000000" w:themeColor="text1"/>
        </w:rPr>
        <w:t xml:space="preserve">du renchérissement du coût du capital avec </w:t>
      </w:r>
      <w:r w:rsidRPr="00305D04">
        <w:rPr>
          <w:rFonts w:ascii="Arial" w:eastAsia="Calibri" w:hAnsi="Arial" w:cs="Arial"/>
          <w:color w:val="000000" w:themeColor="text1"/>
        </w:rPr>
        <w:t xml:space="preserve">des taux d’intérêt </w:t>
      </w:r>
      <w:r>
        <w:rPr>
          <w:rFonts w:ascii="Arial" w:eastAsia="Calibri" w:hAnsi="Arial" w:cs="Arial"/>
          <w:color w:val="000000" w:themeColor="text1"/>
        </w:rPr>
        <w:t>plus</w:t>
      </w:r>
      <w:r w:rsidRPr="00305D04">
        <w:rPr>
          <w:rFonts w:ascii="Arial" w:eastAsia="Calibri" w:hAnsi="Arial" w:cs="Arial"/>
          <w:color w:val="000000" w:themeColor="text1"/>
        </w:rPr>
        <w:t xml:space="preserve"> élevés </w:t>
      </w:r>
      <w:r>
        <w:rPr>
          <w:rFonts w:ascii="Arial" w:eastAsia="Calibri" w:hAnsi="Arial" w:cs="Arial"/>
          <w:color w:val="000000" w:themeColor="text1"/>
        </w:rPr>
        <w:t>qu’au début des années 2020</w:t>
      </w:r>
      <w:r w:rsidRPr="00305D04">
        <w:rPr>
          <w:rFonts w:ascii="Arial" w:eastAsia="Calibri" w:hAnsi="Arial" w:cs="Arial"/>
          <w:color w:val="000000" w:themeColor="text1"/>
        </w:rPr>
        <w:t xml:space="preserve">. </w:t>
      </w:r>
      <w:r w:rsidR="00FE3F48">
        <w:rPr>
          <w:rFonts w:ascii="Arial" w:eastAsia="Calibri" w:hAnsi="Arial" w:cs="Arial"/>
          <w:color w:val="000000" w:themeColor="text1"/>
        </w:rPr>
        <w:t xml:space="preserve">Quant à l’investissement </w:t>
      </w:r>
      <w:r w:rsidR="00FE3F48" w:rsidRPr="00305D04">
        <w:rPr>
          <w:rFonts w:ascii="Arial" w:eastAsia="Calibri" w:hAnsi="Arial" w:cs="Arial"/>
          <w:color w:val="000000" w:themeColor="text1"/>
        </w:rPr>
        <w:t>des ménages</w:t>
      </w:r>
      <w:r w:rsidR="00FE3F48">
        <w:rPr>
          <w:rFonts w:ascii="Arial" w:eastAsia="Calibri" w:hAnsi="Arial" w:cs="Arial"/>
          <w:color w:val="000000" w:themeColor="text1"/>
        </w:rPr>
        <w:t xml:space="preserve">, il chuterait de 7,2 % du fait de </w:t>
      </w:r>
      <w:r>
        <w:rPr>
          <w:rFonts w:ascii="Arial" w:eastAsia="Calibri" w:hAnsi="Arial" w:cs="Arial"/>
          <w:color w:val="000000" w:themeColor="text1"/>
        </w:rPr>
        <w:t>l’effondrement du logement neuf</w:t>
      </w:r>
      <w:r w:rsidR="00FE3F48">
        <w:rPr>
          <w:rFonts w:ascii="Arial" w:eastAsia="Calibri" w:hAnsi="Arial" w:cs="Arial"/>
          <w:color w:val="000000" w:themeColor="text1"/>
        </w:rPr>
        <w:t xml:space="preserve"> (voir plus loin)</w:t>
      </w:r>
      <w:r>
        <w:rPr>
          <w:rFonts w:ascii="Arial" w:eastAsia="Calibri" w:hAnsi="Arial" w:cs="Arial"/>
          <w:color w:val="000000" w:themeColor="text1"/>
        </w:rPr>
        <w:t xml:space="preserve">, pénalisant de 0,4 </w:t>
      </w:r>
      <w:proofErr w:type="spellStart"/>
      <w:r>
        <w:rPr>
          <w:rFonts w:ascii="Arial" w:eastAsia="Calibri" w:hAnsi="Arial" w:cs="Arial"/>
          <w:color w:val="000000" w:themeColor="text1"/>
        </w:rPr>
        <w:t>ppct</w:t>
      </w:r>
      <w:proofErr w:type="spellEnd"/>
      <w:r>
        <w:rPr>
          <w:rFonts w:ascii="Arial" w:eastAsia="Calibri" w:hAnsi="Arial" w:cs="Arial"/>
          <w:color w:val="000000" w:themeColor="text1"/>
        </w:rPr>
        <w:t xml:space="preserve"> la croissance</w:t>
      </w:r>
      <w:r w:rsidRPr="00305D04">
        <w:rPr>
          <w:rFonts w:ascii="Arial" w:eastAsia="Calibri" w:hAnsi="Arial" w:cs="Arial"/>
          <w:color w:val="000000" w:themeColor="text1"/>
        </w:rPr>
        <w:t>.</w:t>
      </w:r>
      <w:r>
        <w:rPr>
          <w:rFonts w:ascii="Arial" w:eastAsia="Calibri" w:hAnsi="Arial" w:cs="Arial"/>
          <w:color w:val="000000" w:themeColor="text1"/>
        </w:rPr>
        <w:t xml:space="preserve"> </w:t>
      </w:r>
      <w:r w:rsidRPr="00305D04">
        <w:rPr>
          <w:rFonts w:ascii="Arial" w:eastAsia="Calibri" w:hAnsi="Arial" w:cs="Arial"/>
          <w:color w:val="000000" w:themeColor="text1"/>
        </w:rPr>
        <w:t xml:space="preserve">Enfin, l’investissement </w:t>
      </w:r>
      <w:r>
        <w:rPr>
          <w:rFonts w:ascii="Arial" w:eastAsia="Calibri" w:hAnsi="Arial" w:cs="Arial"/>
          <w:color w:val="000000" w:themeColor="text1"/>
        </w:rPr>
        <w:t>public</w:t>
      </w:r>
      <w:r w:rsidRPr="00305D04">
        <w:rPr>
          <w:rFonts w:ascii="Arial" w:eastAsia="Calibri" w:hAnsi="Arial" w:cs="Arial"/>
          <w:color w:val="000000" w:themeColor="text1"/>
        </w:rPr>
        <w:t xml:space="preserve"> progresserait de 1,8</w:t>
      </w:r>
      <w:r w:rsidR="00FE3F48">
        <w:rPr>
          <w:rFonts w:ascii="Arial" w:eastAsia="Calibri" w:hAnsi="Arial" w:cs="Arial"/>
          <w:color w:val="000000" w:themeColor="text1"/>
        </w:rPr>
        <w:t> </w:t>
      </w:r>
      <w:r>
        <w:rPr>
          <w:rFonts w:ascii="Arial" w:eastAsia="Calibri" w:hAnsi="Arial" w:cs="Arial"/>
          <w:color w:val="000000" w:themeColor="text1"/>
        </w:rPr>
        <w:t xml:space="preserve">%, </w:t>
      </w:r>
      <w:r w:rsidR="00FE3F48">
        <w:rPr>
          <w:rFonts w:ascii="Arial" w:eastAsia="Calibri" w:hAnsi="Arial" w:cs="Arial"/>
          <w:color w:val="000000" w:themeColor="text1"/>
        </w:rPr>
        <w:t>soit un</w:t>
      </w:r>
      <w:r>
        <w:rPr>
          <w:rFonts w:ascii="Arial" w:eastAsia="Calibri" w:hAnsi="Arial" w:cs="Arial"/>
          <w:color w:val="000000" w:themeColor="text1"/>
        </w:rPr>
        <w:t xml:space="preserve"> léger ralentissement par rapport à 2023</w:t>
      </w:r>
      <w:r w:rsidR="00FE3F48">
        <w:rPr>
          <w:rFonts w:ascii="Arial" w:eastAsia="Calibri" w:hAnsi="Arial" w:cs="Arial"/>
          <w:color w:val="000000" w:themeColor="text1"/>
        </w:rPr>
        <w:t xml:space="preserve"> expliqué notamment par l’impact de la </w:t>
      </w:r>
      <w:r w:rsidR="00E66B93">
        <w:rPr>
          <w:rFonts w:ascii="Arial" w:eastAsia="Calibri" w:hAnsi="Arial" w:cs="Arial"/>
          <w:color w:val="000000" w:themeColor="text1"/>
        </w:rPr>
        <w:t>chute des transactions de logement, donc des droits de mutation, sur les finances des départements, mais également de la baisse de la CVAE (taux d’imposition maximal abaissé à 0,28 %) et des taxes d’aménagement</w:t>
      </w:r>
      <w:r w:rsidRPr="00305D04">
        <w:rPr>
          <w:rFonts w:ascii="Arial" w:eastAsia="Calibri" w:hAnsi="Arial" w:cs="Arial"/>
          <w:color w:val="000000" w:themeColor="text1"/>
        </w:rPr>
        <w:t>.</w:t>
      </w:r>
      <w:r>
        <w:rPr>
          <w:rFonts w:ascii="Arial" w:eastAsia="Calibri" w:hAnsi="Arial" w:cs="Arial"/>
          <w:color w:val="000000" w:themeColor="text1"/>
        </w:rPr>
        <w:t xml:space="preserve"> </w:t>
      </w:r>
    </w:p>
    <w:p w14:paraId="6D7AAA4E" w14:textId="64E00EEE" w:rsidR="005620F5" w:rsidRPr="00781285"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Pour sa part, l</w:t>
      </w:r>
      <w:r w:rsidRPr="00305D04">
        <w:rPr>
          <w:rFonts w:ascii="Arial" w:eastAsia="Calibri" w:hAnsi="Arial" w:cs="Arial"/>
          <w:color w:val="000000" w:themeColor="text1"/>
        </w:rPr>
        <w:t xml:space="preserve">e commerce extérieur </w:t>
      </w:r>
      <w:r>
        <w:rPr>
          <w:rFonts w:ascii="Arial" w:eastAsia="Calibri" w:hAnsi="Arial" w:cs="Arial"/>
          <w:color w:val="000000" w:themeColor="text1"/>
        </w:rPr>
        <w:t xml:space="preserve">ne </w:t>
      </w:r>
      <w:r w:rsidRPr="00305D04">
        <w:rPr>
          <w:rFonts w:ascii="Arial" w:eastAsia="Calibri" w:hAnsi="Arial" w:cs="Arial"/>
          <w:color w:val="000000" w:themeColor="text1"/>
        </w:rPr>
        <w:t>contribuerait que très faiblement à la croissance</w:t>
      </w:r>
      <w:r>
        <w:rPr>
          <w:rFonts w:ascii="Arial" w:eastAsia="Calibri" w:hAnsi="Arial" w:cs="Arial"/>
          <w:color w:val="000000" w:themeColor="text1"/>
        </w:rPr>
        <w:t>,</w:t>
      </w:r>
      <w:r w:rsidRPr="00305D04">
        <w:rPr>
          <w:rFonts w:ascii="Arial" w:eastAsia="Calibri" w:hAnsi="Arial" w:cs="Arial"/>
          <w:color w:val="000000" w:themeColor="text1"/>
        </w:rPr>
        <w:t xml:space="preserve"> avec </w:t>
      </w:r>
      <w:r>
        <w:rPr>
          <w:rFonts w:ascii="Arial" w:eastAsia="Calibri" w:hAnsi="Arial" w:cs="Arial"/>
          <w:color w:val="000000" w:themeColor="text1"/>
        </w:rPr>
        <w:t xml:space="preserve">une progression </w:t>
      </w:r>
      <w:r w:rsidRPr="00305D04">
        <w:rPr>
          <w:rFonts w:ascii="Arial" w:eastAsia="Calibri" w:hAnsi="Arial" w:cs="Arial"/>
          <w:color w:val="000000" w:themeColor="text1"/>
        </w:rPr>
        <w:t>des exportations</w:t>
      </w:r>
      <w:r>
        <w:rPr>
          <w:rFonts w:ascii="Arial" w:eastAsia="Calibri" w:hAnsi="Arial" w:cs="Arial"/>
          <w:color w:val="000000" w:themeColor="text1"/>
        </w:rPr>
        <w:t xml:space="preserve"> tout juste supérieure à celle des</w:t>
      </w:r>
      <w:r w:rsidRPr="00305D04">
        <w:rPr>
          <w:rFonts w:ascii="Arial" w:eastAsia="Calibri" w:hAnsi="Arial" w:cs="Arial"/>
          <w:color w:val="000000" w:themeColor="text1"/>
        </w:rPr>
        <w:t xml:space="preserve"> importations (+2,1 % contre +1,9 %) à cause notamment de la faiblesse de la demande adressée à la France dans un </w:t>
      </w:r>
      <w:r w:rsidRPr="00A206AE">
        <w:rPr>
          <w:rFonts w:ascii="Arial" w:eastAsia="Calibri" w:hAnsi="Arial" w:cs="Arial"/>
          <w:color w:val="000000" w:themeColor="text1"/>
        </w:rPr>
        <w:t>contexte de ralentissement mondial.</w:t>
      </w:r>
    </w:p>
    <w:p w14:paraId="15E46774" w14:textId="00469DBC" w:rsidR="005620F5" w:rsidRPr="00781285" w:rsidRDefault="00FE3F48"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L</w:t>
      </w:r>
      <w:r w:rsidR="005620F5" w:rsidRPr="00305D04">
        <w:rPr>
          <w:rFonts w:ascii="Arial" w:eastAsia="Calibri" w:hAnsi="Arial" w:cs="Arial"/>
          <w:color w:val="000000" w:themeColor="text1"/>
        </w:rPr>
        <w:t xml:space="preserve">e taux de chômage se relèverait de 0,3 </w:t>
      </w:r>
      <w:proofErr w:type="spellStart"/>
      <w:r w:rsidR="005620F5" w:rsidRPr="00305D04">
        <w:rPr>
          <w:rFonts w:ascii="Arial" w:eastAsia="Calibri" w:hAnsi="Arial" w:cs="Arial"/>
          <w:color w:val="000000" w:themeColor="text1"/>
        </w:rPr>
        <w:t>ppct</w:t>
      </w:r>
      <w:proofErr w:type="spellEnd"/>
      <w:r w:rsidR="005620F5" w:rsidRPr="00305D04">
        <w:rPr>
          <w:rFonts w:ascii="Arial" w:eastAsia="Calibri" w:hAnsi="Arial" w:cs="Arial"/>
          <w:color w:val="000000" w:themeColor="text1"/>
        </w:rPr>
        <w:t xml:space="preserve"> pour s’afficher à 7,6 % en France entière. Il se maintiendrait toutefois à </w:t>
      </w:r>
      <w:r w:rsidR="005620F5">
        <w:rPr>
          <w:rFonts w:ascii="Arial" w:eastAsia="Calibri" w:hAnsi="Arial" w:cs="Arial"/>
          <w:color w:val="000000" w:themeColor="text1"/>
        </w:rPr>
        <w:t xml:space="preserve">faible </w:t>
      </w:r>
      <w:r w:rsidR="005620F5" w:rsidRPr="00305D04">
        <w:rPr>
          <w:rFonts w:ascii="Arial" w:eastAsia="Calibri" w:hAnsi="Arial" w:cs="Arial"/>
          <w:color w:val="000000" w:themeColor="text1"/>
        </w:rPr>
        <w:t>niveau</w:t>
      </w:r>
      <w:r w:rsidR="005620F5">
        <w:rPr>
          <w:rFonts w:ascii="Arial" w:eastAsia="Calibri" w:hAnsi="Arial" w:cs="Arial"/>
          <w:color w:val="000000" w:themeColor="text1"/>
        </w:rPr>
        <w:t xml:space="preserve"> historique</w:t>
      </w:r>
      <w:r w:rsidR="005620F5" w:rsidRPr="00305D04">
        <w:rPr>
          <w:rFonts w:ascii="Arial" w:eastAsia="Calibri" w:hAnsi="Arial" w:cs="Arial"/>
          <w:color w:val="000000" w:themeColor="text1"/>
        </w:rPr>
        <w:t>.</w:t>
      </w:r>
    </w:p>
    <w:p w14:paraId="4F6E5216" w14:textId="43339030" w:rsidR="00BD53DD" w:rsidRPr="00C06953" w:rsidRDefault="005620F5" w:rsidP="005620F5">
      <w:pPr>
        <w:spacing w:after="120" w:line="360" w:lineRule="auto"/>
        <w:jc w:val="both"/>
        <w:rPr>
          <w:rFonts w:ascii="Arial" w:eastAsia="Calibri" w:hAnsi="Arial" w:cs="Arial"/>
        </w:rPr>
      </w:pPr>
      <w:r w:rsidRPr="00305D04">
        <w:rPr>
          <w:rFonts w:ascii="Arial" w:eastAsia="Calibri" w:hAnsi="Arial" w:cs="Arial"/>
          <w:color w:val="000000" w:themeColor="text1"/>
        </w:rPr>
        <w:lastRenderedPageBreak/>
        <w:t xml:space="preserve">Enfin, </w:t>
      </w:r>
      <w:r>
        <w:rPr>
          <w:rFonts w:ascii="Arial" w:eastAsia="Calibri" w:hAnsi="Arial" w:cs="Arial"/>
          <w:color w:val="000000" w:themeColor="text1"/>
        </w:rPr>
        <w:t xml:space="preserve">comme évoqué plus haut, </w:t>
      </w:r>
      <w:r w:rsidRPr="00305D04">
        <w:rPr>
          <w:rFonts w:ascii="Arial" w:eastAsia="Calibri" w:hAnsi="Arial" w:cs="Arial"/>
          <w:color w:val="000000" w:themeColor="text1"/>
        </w:rPr>
        <w:t xml:space="preserve">le reflux de l’inflation entamé depuis </w:t>
      </w:r>
      <w:r>
        <w:rPr>
          <w:rFonts w:ascii="Arial" w:eastAsia="Calibri" w:hAnsi="Arial" w:cs="Arial"/>
          <w:color w:val="000000" w:themeColor="text1"/>
        </w:rPr>
        <w:t>fin 2023</w:t>
      </w:r>
      <w:r w:rsidRPr="00305D04">
        <w:rPr>
          <w:rFonts w:ascii="Arial" w:eastAsia="Calibri" w:hAnsi="Arial" w:cs="Arial"/>
          <w:color w:val="000000" w:themeColor="text1"/>
        </w:rPr>
        <w:t xml:space="preserve"> se poursuivrait</w:t>
      </w:r>
      <w:r>
        <w:rPr>
          <w:rFonts w:ascii="Arial" w:eastAsia="Calibri" w:hAnsi="Arial" w:cs="Arial"/>
          <w:color w:val="000000" w:themeColor="text1"/>
        </w:rPr>
        <w:t>, ce qui permettr</w:t>
      </w:r>
      <w:r w:rsidR="00A319B9">
        <w:rPr>
          <w:rFonts w:ascii="Arial" w:eastAsia="Calibri" w:hAnsi="Arial" w:cs="Arial"/>
          <w:color w:val="000000" w:themeColor="text1"/>
        </w:rPr>
        <w:t>ait</w:t>
      </w:r>
      <w:r>
        <w:rPr>
          <w:rFonts w:ascii="Arial" w:eastAsia="Calibri" w:hAnsi="Arial" w:cs="Arial"/>
          <w:color w:val="000000" w:themeColor="text1"/>
        </w:rPr>
        <w:t xml:space="preserve"> à</w:t>
      </w:r>
      <w:r w:rsidRPr="00305D04">
        <w:rPr>
          <w:rFonts w:ascii="Arial" w:eastAsia="Calibri" w:hAnsi="Arial" w:cs="Arial"/>
          <w:color w:val="000000" w:themeColor="text1"/>
        </w:rPr>
        <w:t xml:space="preserve"> la </w:t>
      </w:r>
      <w:r w:rsidR="00B8572F">
        <w:rPr>
          <w:rFonts w:ascii="Arial" w:eastAsia="Calibri" w:hAnsi="Arial" w:cs="Arial"/>
          <w:color w:val="000000" w:themeColor="text1"/>
        </w:rPr>
        <w:t>BCE</w:t>
      </w:r>
      <w:r w:rsidRPr="00305D04">
        <w:rPr>
          <w:rFonts w:ascii="Arial" w:eastAsia="Calibri" w:hAnsi="Arial" w:cs="Arial"/>
          <w:color w:val="000000" w:themeColor="text1"/>
        </w:rPr>
        <w:t xml:space="preserve"> </w:t>
      </w:r>
      <w:r>
        <w:rPr>
          <w:rFonts w:ascii="Arial" w:eastAsia="Calibri" w:hAnsi="Arial" w:cs="Arial"/>
          <w:color w:val="000000" w:themeColor="text1"/>
        </w:rPr>
        <w:t>d’</w:t>
      </w:r>
      <w:r w:rsidRPr="00305D04">
        <w:rPr>
          <w:rFonts w:ascii="Arial" w:eastAsia="Calibri" w:hAnsi="Arial" w:cs="Arial"/>
          <w:color w:val="000000" w:themeColor="text1"/>
        </w:rPr>
        <w:t xml:space="preserve">abaisser </w:t>
      </w:r>
      <w:r>
        <w:rPr>
          <w:rFonts w:ascii="Arial" w:eastAsia="Calibri" w:hAnsi="Arial" w:cs="Arial"/>
          <w:color w:val="000000" w:themeColor="text1"/>
        </w:rPr>
        <w:t>légèrement ses</w:t>
      </w:r>
      <w:r w:rsidRPr="00305D04">
        <w:rPr>
          <w:rFonts w:ascii="Arial" w:eastAsia="Calibri" w:hAnsi="Arial" w:cs="Arial"/>
          <w:color w:val="000000" w:themeColor="text1"/>
        </w:rPr>
        <w:t xml:space="preserve"> taux directeur</w:t>
      </w:r>
      <w:r>
        <w:rPr>
          <w:rFonts w:ascii="Arial" w:eastAsia="Calibri" w:hAnsi="Arial" w:cs="Arial"/>
          <w:color w:val="000000" w:themeColor="text1"/>
        </w:rPr>
        <w:t>s</w:t>
      </w:r>
      <w:r w:rsidRPr="00305D04">
        <w:rPr>
          <w:rFonts w:ascii="Arial" w:eastAsia="Calibri" w:hAnsi="Arial" w:cs="Arial"/>
          <w:color w:val="000000" w:themeColor="text1"/>
        </w:rPr>
        <w:t xml:space="preserve"> </w:t>
      </w:r>
      <w:r>
        <w:rPr>
          <w:rFonts w:ascii="Arial" w:eastAsia="Calibri" w:hAnsi="Arial" w:cs="Arial"/>
          <w:color w:val="000000" w:themeColor="text1"/>
        </w:rPr>
        <w:t>courant 2024</w:t>
      </w:r>
      <w:r w:rsidRPr="00305D04">
        <w:rPr>
          <w:rFonts w:ascii="Arial" w:eastAsia="Calibri" w:hAnsi="Arial" w:cs="Arial"/>
          <w:color w:val="000000" w:themeColor="text1"/>
        </w:rPr>
        <w:t>. Ce desserrement monétaire se répercuterait donc</w:t>
      </w:r>
      <w:r>
        <w:rPr>
          <w:rFonts w:ascii="Arial" w:eastAsia="Calibri" w:hAnsi="Arial" w:cs="Arial"/>
          <w:color w:val="000000" w:themeColor="text1"/>
        </w:rPr>
        <w:t>, dans un premier temps, au</w:t>
      </w:r>
      <w:r w:rsidRPr="00305D04">
        <w:rPr>
          <w:rFonts w:ascii="Arial" w:eastAsia="Calibri" w:hAnsi="Arial" w:cs="Arial"/>
          <w:color w:val="000000" w:themeColor="text1"/>
        </w:rPr>
        <w:t xml:space="preserve"> taux de l’emprunt phare à dix ans qui s’éroder</w:t>
      </w:r>
      <w:r>
        <w:rPr>
          <w:rFonts w:ascii="Arial" w:eastAsia="Calibri" w:hAnsi="Arial" w:cs="Arial"/>
          <w:color w:val="000000" w:themeColor="text1"/>
        </w:rPr>
        <w:t>ait</w:t>
      </w:r>
      <w:r w:rsidRPr="00305D04">
        <w:rPr>
          <w:rFonts w:ascii="Arial" w:eastAsia="Calibri" w:hAnsi="Arial" w:cs="Arial"/>
          <w:color w:val="000000" w:themeColor="text1"/>
        </w:rPr>
        <w:t xml:space="preserve"> à 3,0</w:t>
      </w:r>
      <w:r w:rsidR="00A319B9">
        <w:rPr>
          <w:rFonts w:ascii="Arial" w:eastAsia="Calibri" w:hAnsi="Arial" w:cs="Arial"/>
          <w:color w:val="000000" w:themeColor="text1"/>
        </w:rPr>
        <w:t> </w:t>
      </w:r>
      <w:r w:rsidRPr="00305D04">
        <w:rPr>
          <w:rFonts w:ascii="Arial" w:eastAsia="Calibri" w:hAnsi="Arial" w:cs="Arial"/>
          <w:color w:val="000000" w:themeColor="text1"/>
        </w:rPr>
        <w:t>% en moyenne annuelle sur 2024</w:t>
      </w:r>
      <w:r>
        <w:rPr>
          <w:rFonts w:ascii="Arial" w:eastAsia="Calibri" w:hAnsi="Arial" w:cs="Arial"/>
          <w:color w:val="000000" w:themeColor="text1"/>
        </w:rPr>
        <w:t xml:space="preserve"> puis</w:t>
      </w:r>
      <w:r w:rsidR="00A319B9">
        <w:rPr>
          <w:rFonts w:ascii="Arial" w:eastAsia="Calibri" w:hAnsi="Arial" w:cs="Arial"/>
          <w:color w:val="000000" w:themeColor="text1"/>
        </w:rPr>
        <w:t>, en deuxième partie d’année,</w:t>
      </w:r>
      <w:r w:rsidRPr="00305D04">
        <w:rPr>
          <w:rFonts w:ascii="Arial" w:eastAsia="Calibri" w:hAnsi="Arial" w:cs="Arial"/>
          <w:color w:val="000000" w:themeColor="text1"/>
        </w:rPr>
        <w:t xml:space="preserve"> aux taux des crédits immobiliers aux particuliers</w:t>
      </w:r>
      <w:r>
        <w:rPr>
          <w:rFonts w:ascii="Arial" w:eastAsia="Calibri" w:hAnsi="Arial" w:cs="Arial"/>
          <w:color w:val="000000" w:themeColor="text1"/>
        </w:rPr>
        <w:t xml:space="preserve"> </w:t>
      </w:r>
      <w:r w:rsidRPr="00305D04">
        <w:rPr>
          <w:rFonts w:ascii="Arial" w:eastAsia="Calibri" w:hAnsi="Arial" w:cs="Arial"/>
          <w:color w:val="000000" w:themeColor="text1"/>
        </w:rPr>
        <w:t xml:space="preserve">qui </w:t>
      </w:r>
      <w:r>
        <w:rPr>
          <w:rFonts w:ascii="Arial" w:eastAsia="Calibri" w:hAnsi="Arial" w:cs="Arial"/>
          <w:color w:val="000000" w:themeColor="text1"/>
        </w:rPr>
        <w:t xml:space="preserve">reculeraient faiblement </w:t>
      </w:r>
      <w:r w:rsidR="00A319B9">
        <w:rPr>
          <w:rFonts w:ascii="Arial" w:eastAsia="Calibri" w:hAnsi="Arial" w:cs="Arial"/>
          <w:color w:val="000000" w:themeColor="text1"/>
        </w:rPr>
        <w:t xml:space="preserve">pour </w:t>
      </w:r>
      <w:r w:rsidR="00072BAA">
        <w:rPr>
          <w:rFonts w:ascii="Arial" w:eastAsia="Calibri" w:hAnsi="Arial" w:cs="Arial"/>
          <w:color w:val="000000" w:themeColor="text1"/>
        </w:rPr>
        <w:t>p</w:t>
      </w:r>
      <w:r w:rsidR="00A319B9">
        <w:rPr>
          <w:rFonts w:ascii="Arial" w:eastAsia="Calibri" w:hAnsi="Arial" w:cs="Arial"/>
          <w:color w:val="000000" w:themeColor="text1"/>
        </w:rPr>
        <w:t xml:space="preserve">asser </w:t>
      </w:r>
      <w:r>
        <w:rPr>
          <w:rFonts w:ascii="Arial" w:eastAsia="Calibri" w:hAnsi="Arial" w:cs="Arial"/>
          <w:color w:val="000000" w:themeColor="text1"/>
        </w:rPr>
        <w:t>en-deçà des 4 %, hors assurance et coût des sûretés</w:t>
      </w:r>
      <w:r w:rsidRPr="00305D04">
        <w:rPr>
          <w:rFonts w:ascii="Arial" w:eastAsia="Calibri" w:hAnsi="Arial" w:cs="Arial"/>
          <w:color w:val="000000" w:themeColor="text1"/>
        </w:rPr>
        <w:t>.</w:t>
      </w:r>
      <w:r w:rsidR="00BD53DD" w:rsidRPr="005F7433">
        <w:rPr>
          <w:rFonts w:ascii="Arial" w:eastAsia="Calibri" w:hAnsi="Arial" w:cs="Arial"/>
        </w:rPr>
        <w:t xml:space="preserve"> </w:t>
      </w:r>
    </w:p>
    <w:p w14:paraId="564FE8F0" w14:textId="5B089BA2" w:rsidR="00BD53DD" w:rsidRPr="00CD7FFC" w:rsidRDefault="00BD53DD" w:rsidP="00BD53DD">
      <w:pPr>
        <w:spacing w:before="480" w:after="120" w:line="360" w:lineRule="auto"/>
        <w:jc w:val="both"/>
        <w:rPr>
          <w:rFonts w:ascii="Arial" w:eastAsia="Calibri" w:hAnsi="Arial" w:cs="Arial"/>
          <w:b/>
          <w:color w:val="000000" w:themeColor="text1"/>
          <w:sz w:val="28"/>
          <w:szCs w:val="28"/>
          <w:u w:val="single"/>
        </w:rPr>
      </w:pPr>
      <w:r w:rsidRPr="00CD7FFC">
        <w:rPr>
          <w:rFonts w:ascii="Arial" w:eastAsia="Calibri" w:hAnsi="Arial" w:cs="Arial"/>
          <w:b/>
          <w:color w:val="000000" w:themeColor="text1"/>
          <w:sz w:val="28"/>
          <w:szCs w:val="28"/>
          <w:u w:val="single"/>
        </w:rPr>
        <w:t>3. Prévisions 202</w:t>
      </w:r>
      <w:r w:rsidR="00470734">
        <w:rPr>
          <w:rFonts w:ascii="Arial" w:eastAsia="Calibri" w:hAnsi="Arial" w:cs="Arial"/>
          <w:b/>
          <w:color w:val="000000" w:themeColor="text1"/>
          <w:sz w:val="28"/>
          <w:szCs w:val="28"/>
          <w:u w:val="single"/>
        </w:rPr>
        <w:t>4</w:t>
      </w:r>
    </w:p>
    <w:p w14:paraId="52A81BF3" w14:textId="77777777" w:rsidR="00BD53DD" w:rsidRPr="00CD7FFC" w:rsidRDefault="00BD53DD" w:rsidP="00BD53DD">
      <w:pPr>
        <w:spacing w:before="360" w:after="120" w:line="360" w:lineRule="auto"/>
        <w:jc w:val="both"/>
        <w:rPr>
          <w:rFonts w:ascii="Arial" w:eastAsia="Calibri" w:hAnsi="Arial" w:cs="Arial"/>
          <w:color w:val="000000" w:themeColor="text1"/>
          <w:u w:val="single"/>
        </w:rPr>
      </w:pPr>
      <w:r w:rsidRPr="00CD7FFC">
        <w:rPr>
          <w:rFonts w:ascii="Arial" w:eastAsia="Calibri" w:hAnsi="Arial" w:cs="Arial"/>
          <w:color w:val="000000" w:themeColor="text1"/>
          <w:u w:val="single"/>
        </w:rPr>
        <w:t>3.1 Le logement neuf</w:t>
      </w:r>
    </w:p>
    <w:p w14:paraId="46275062" w14:textId="44153C61" w:rsidR="005620F5" w:rsidRDefault="005620F5" w:rsidP="004C0AC4">
      <w:pPr>
        <w:spacing w:after="120" w:line="360" w:lineRule="auto"/>
        <w:jc w:val="both"/>
        <w:rPr>
          <w:rFonts w:ascii="Arial" w:eastAsia="Calibri" w:hAnsi="Arial" w:cs="Arial"/>
          <w:color w:val="000000" w:themeColor="text1"/>
        </w:rPr>
      </w:pPr>
      <w:r>
        <w:rPr>
          <w:rFonts w:ascii="Arial" w:eastAsia="Calibri" w:hAnsi="Arial" w:cs="Arial"/>
          <w:color w:val="000000" w:themeColor="text1"/>
        </w:rPr>
        <w:t>Globalement</w:t>
      </w:r>
      <w:r w:rsidRPr="00E356CB">
        <w:rPr>
          <w:rFonts w:ascii="Arial" w:eastAsia="Calibri" w:hAnsi="Arial" w:cs="Arial"/>
          <w:color w:val="000000" w:themeColor="text1"/>
        </w:rPr>
        <w:t xml:space="preserve">, le logement neuf subira la très forte dégradation de l’activité </w:t>
      </w:r>
      <w:r>
        <w:rPr>
          <w:rFonts w:ascii="Arial" w:eastAsia="Calibri" w:hAnsi="Arial" w:cs="Arial"/>
          <w:color w:val="000000" w:themeColor="text1"/>
        </w:rPr>
        <w:t xml:space="preserve">constatée </w:t>
      </w:r>
      <w:r w:rsidRPr="00E356CB">
        <w:rPr>
          <w:rFonts w:ascii="Arial" w:eastAsia="Calibri" w:hAnsi="Arial" w:cs="Arial"/>
          <w:color w:val="000000" w:themeColor="text1"/>
        </w:rPr>
        <w:t>à l’amont de la filière tout au long de l’année</w:t>
      </w:r>
      <w:r>
        <w:rPr>
          <w:rFonts w:ascii="Arial" w:eastAsia="Calibri" w:hAnsi="Arial" w:cs="Arial"/>
          <w:color w:val="000000" w:themeColor="text1"/>
        </w:rPr>
        <w:t xml:space="preserve"> 2023</w:t>
      </w:r>
      <w:r w:rsidRPr="00E356CB">
        <w:rPr>
          <w:rFonts w:ascii="Arial" w:eastAsia="Calibri" w:hAnsi="Arial" w:cs="Arial"/>
        </w:rPr>
        <w:t>.</w:t>
      </w:r>
      <w:r w:rsidR="00955458">
        <w:rPr>
          <w:rFonts w:ascii="Arial" w:eastAsia="Calibri" w:hAnsi="Arial" w:cs="Arial"/>
        </w:rPr>
        <w:t xml:space="preserve"> </w:t>
      </w:r>
      <w:r w:rsidR="00CA0979">
        <w:rPr>
          <w:rFonts w:ascii="Arial" w:eastAsia="Calibri" w:hAnsi="Arial" w:cs="Arial"/>
          <w:color w:val="000000" w:themeColor="text1"/>
        </w:rPr>
        <w:t>D</w:t>
      </w:r>
      <w:r w:rsidRPr="00C66E6A">
        <w:rPr>
          <w:rFonts w:ascii="Arial" w:eastAsia="Calibri" w:hAnsi="Arial" w:cs="Arial"/>
          <w:color w:val="000000" w:themeColor="text1"/>
        </w:rPr>
        <w:t xml:space="preserve">’autres </w:t>
      </w:r>
      <w:r>
        <w:rPr>
          <w:rFonts w:ascii="Arial" w:eastAsia="Calibri" w:hAnsi="Arial" w:cs="Arial"/>
          <w:color w:val="000000" w:themeColor="text1"/>
        </w:rPr>
        <w:t>facteurs</w:t>
      </w:r>
      <w:r w:rsidR="00CA0979">
        <w:rPr>
          <w:rFonts w:ascii="Arial" w:eastAsia="Calibri" w:hAnsi="Arial" w:cs="Arial"/>
          <w:color w:val="000000" w:themeColor="text1"/>
        </w:rPr>
        <w:t>,</w:t>
      </w:r>
      <w:r w:rsidRPr="00C66E6A">
        <w:rPr>
          <w:rFonts w:ascii="Arial" w:eastAsia="Calibri" w:hAnsi="Arial" w:cs="Arial"/>
          <w:color w:val="000000" w:themeColor="text1"/>
        </w:rPr>
        <w:t xml:space="preserve"> propres à chaque segment </w:t>
      </w:r>
      <w:r w:rsidR="00CA0979">
        <w:rPr>
          <w:rFonts w:ascii="Arial" w:eastAsia="Calibri" w:hAnsi="Arial" w:cs="Arial"/>
          <w:color w:val="000000" w:themeColor="text1"/>
        </w:rPr>
        <w:t>viendront s’y ajouter</w:t>
      </w:r>
      <w:r>
        <w:rPr>
          <w:rFonts w:ascii="Arial" w:eastAsia="Calibri" w:hAnsi="Arial" w:cs="Arial"/>
          <w:color w:val="000000" w:themeColor="text1"/>
        </w:rPr>
        <w:t> :</w:t>
      </w:r>
    </w:p>
    <w:p w14:paraId="6D438907" w14:textId="7DBA2AE1" w:rsidR="005620F5" w:rsidRDefault="005620F5" w:rsidP="005620F5">
      <w:pPr>
        <w:pStyle w:val="Paragraphedeliste"/>
        <w:numPr>
          <w:ilvl w:val="0"/>
          <w:numId w:val="38"/>
        </w:numPr>
        <w:spacing w:after="120" w:line="360" w:lineRule="auto"/>
        <w:jc w:val="both"/>
        <w:rPr>
          <w:rFonts w:ascii="Arial" w:eastAsia="Calibri" w:hAnsi="Arial" w:cs="Arial"/>
          <w:color w:val="000000" w:themeColor="text1"/>
        </w:rPr>
      </w:pPr>
      <w:r w:rsidRPr="00642F35">
        <w:rPr>
          <w:rFonts w:ascii="Arial" w:eastAsia="Calibri" w:hAnsi="Arial" w:cs="Arial"/>
          <w:color w:val="000000" w:themeColor="text1"/>
        </w:rPr>
        <w:t xml:space="preserve">dans l’individuel, la suppression </w:t>
      </w:r>
      <w:r w:rsidR="000B0FA4">
        <w:rPr>
          <w:rFonts w:ascii="Arial" w:eastAsia="Calibri" w:hAnsi="Arial" w:cs="Arial"/>
          <w:color w:val="000000" w:themeColor="text1"/>
        </w:rPr>
        <w:t>de l’éligibilité a</w:t>
      </w:r>
      <w:r w:rsidRPr="00642F35">
        <w:rPr>
          <w:rFonts w:ascii="Arial" w:eastAsia="Calibri" w:hAnsi="Arial" w:cs="Arial"/>
          <w:color w:val="000000" w:themeColor="text1"/>
        </w:rPr>
        <w:t>u PTZ à partir du 1</w:t>
      </w:r>
      <w:r w:rsidRPr="004C0AC4">
        <w:rPr>
          <w:rFonts w:ascii="Arial" w:eastAsia="Calibri" w:hAnsi="Arial" w:cs="Arial"/>
          <w:color w:val="000000" w:themeColor="text1"/>
          <w:vertAlign w:val="superscript"/>
        </w:rPr>
        <w:t>er</w:t>
      </w:r>
      <w:r w:rsidRPr="00642F35">
        <w:rPr>
          <w:rFonts w:ascii="Arial" w:eastAsia="Calibri" w:hAnsi="Arial" w:cs="Arial"/>
          <w:color w:val="000000" w:themeColor="text1"/>
        </w:rPr>
        <w:t xml:space="preserve"> janvier 2024</w:t>
      </w:r>
      <w:r w:rsidR="00CA0979">
        <w:rPr>
          <w:rFonts w:ascii="Arial" w:eastAsia="Calibri" w:hAnsi="Arial" w:cs="Arial"/>
          <w:color w:val="000000" w:themeColor="text1"/>
        </w:rPr>
        <w:t>, mais aussi</w:t>
      </w:r>
      <w:r w:rsidRPr="00642F35">
        <w:rPr>
          <w:rFonts w:ascii="Arial" w:eastAsia="Calibri" w:hAnsi="Arial" w:cs="Arial"/>
          <w:color w:val="000000" w:themeColor="text1"/>
        </w:rPr>
        <w:t xml:space="preserve"> les premiers effets </w:t>
      </w:r>
      <w:r w:rsidR="00CA0979">
        <w:rPr>
          <w:rFonts w:ascii="Arial" w:eastAsia="Calibri" w:hAnsi="Arial" w:cs="Arial"/>
          <w:color w:val="000000" w:themeColor="text1"/>
        </w:rPr>
        <w:t>de la mise en œuvre effective</w:t>
      </w:r>
      <w:r w:rsidRPr="00642F35">
        <w:rPr>
          <w:rFonts w:ascii="Arial" w:eastAsia="Calibri" w:hAnsi="Arial" w:cs="Arial"/>
          <w:color w:val="000000" w:themeColor="text1"/>
        </w:rPr>
        <w:t xml:space="preserve"> du zéro artificialisation nette (ZAN)</w:t>
      </w:r>
      <w:r w:rsidR="00CA0979">
        <w:rPr>
          <w:rFonts w:ascii="Arial" w:eastAsia="Calibri" w:hAnsi="Arial" w:cs="Arial"/>
          <w:color w:val="000000" w:themeColor="text1"/>
        </w:rPr>
        <w:t>,</w:t>
      </w:r>
      <w:r w:rsidRPr="00642F35">
        <w:rPr>
          <w:rFonts w:ascii="Arial" w:eastAsia="Calibri" w:hAnsi="Arial" w:cs="Arial"/>
          <w:color w:val="000000" w:themeColor="text1"/>
        </w:rPr>
        <w:t xml:space="preserve"> </w:t>
      </w:r>
      <w:r w:rsidR="00F90218">
        <w:rPr>
          <w:rFonts w:ascii="Arial" w:eastAsia="Calibri" w:hAnsi="Arial" w:cs="Arial"/>
          <w:color w:val="000000" w:themeColor="text1"/>
        </w:rPr>
        <w:t xml:space="preserve">qui </w:t>
      </w:r>
      <w:r w:rsidR="00CA0979">
        <w:rPr>
          <w:rFonts w:ascii="Arial" w:eastAsia="Calibri" w:hAnsi="Arial" w:cs="Arial"/>
          <w:color w:val="000000" w:themeColor="text1"/>
        </w:rPr>
        <w:t>pénalisera</w:t>
      </w:r>
      <w:r w:rsidRPr="00642F35">
        <w:rPr>
          <w:rFonts w:ascii="Arial" w:eastAsia="Calibri" w:hAnsi="Arial" w:cs="Arial"/>
          <w:color w:val="000000" w:themeColor="text1"/>
        </w:rPr>
        <w:t xml:space="preserve"> la délivrance de permis</w:t>
      </w:r>
      <w:r>
        <w:rPr>
          <w:rFonts w:ascii="Arial" w:eastAsia="Calibri" w:hAnsi="Arial" w:cs="Arial"/>
          <w:color w:val="000000" w:themeColor="text1"/>
        </w:rPr>
        <w:t> ;</w:t>
      </w:r>
    </w:p>
    <w:p w14:paraId="52ECD20B" w14:textId="1A055258" w:rsidR="005620F5" w:rsidRPr="00C55C74" w:rsidRDefault="005620F5" w:rsidP="005620F5">
      <w:pPr>
        <w:pStyle w:val="Paragraphedeliste"/>
        <w:numPr>
          <w:ilvl w:val="0"/>
          <w:numId w:val="38"/>
        </w:numPr>
        <w:spacing w:after="120" w:line="360" w:lineRule="auto"/>
        <w:jc w:val="both"/>
        <w:rPr>
          <w:rFonts w:ascii="Arial" w:eastAsia="Calibri" w:hAnsi="Arial" w:cs="Arial"/>
          <w:color w:val="000000" w:themeColor="text1"/>
        </w:rPr>
      </w:pPr>
      <w:r w:rsidRPr="00C55C74">
        <w:rPr>
          <w:rFonts w:ascii="Arial" w:eastAsia="Calibri" w:hAnsi="Arial" w:cs="Arial"/>
          <w:color w:val="000000" w:themeColor="text1"/>
        </w:rPr>
        <w:t>dans le collectif, l</w:t>
      </w:r>
      <w:r w:rsidR="000B0FA4">
        <w:rPr>
          <w:rFonts w:ascii="Arial" w:eastAsia="Calibri" w:hAnsi="Arial" w:cs="Arial"/>
          <w:color w:val="000000" w:themeColor="text1"/>
        </w:rPr>
        <w:t>a baisse d</w:t>
      </w:r>
      <w:r>
        <w:rPr>
          <w:rFonts w:ascii="Arial" w:eastAsia="Calibri" w:hAnsi="Arial" w:cs="Arial"/>
          <w:color w:val="000000" w:themeColor="text1"/>
        </w:rPr>
        <w:t>es</w:t>
      </w:r>
      <w:r w:rsidRPr="00C55C74">
        <w:rPr>
          <w:rFonts w:ascii="Arial" w:eastAsia="Calibri" w:hAnsi="Arial" w:cs="Arial"/>
          <w:color w:val="000000" w:themeColor="text1"/>
        </w:rPr>
        <w:t xml:space="preserve"> agréments de logements locatifs sociaux neufs </w:t>
      </w:r>
      <w:r>
        <w:rPr>
          <w:rFonts w:ascii="Arial" w:eastAsia="Calibri" w:hAnsi="Arial" w:cs="Arial"/>
          <w:color w:val="000000" w:themeColor="text1"/>
        </w:rPr>
        <w:t>(-12 %</w:t>
      </w:r>
      <w:r w:rsidR="000B0FA4">
        <w:rPr>
          <w:rFonts w:ascii="Arial" w:eastAsia="Calibri" w:hAnsi="Arial" w:cs="Arial"/>
          <w:color w:val="000000" w:themeColor="text1"/>
        </w:rPr>
        <w:t xml:space="preserve"> en 2023</w:t>
      </w:r>
      <w:r w:rsidR="00955458">
        <w:rPr>
          <w:rFonts w:ascii="Arial" w:eastAsia="Calibri" w:hAnsi="Arial" w:cs="Arial"/>
          <w:color w:val="000000" w:themeColor="text1"/>
        </w:rPr>
        <w:t xml:space="preserve"> </w:t>
      </w:r>
      <w:r>
        <w:rPr>
          <w:rFonts w:ascii="Arial" w:eastAsia="Calibri" w:hAnsi="Arial" w:cs="Arial"/>
          <w:color w:val="000000" w:themeColor="text1"/>
        </w:rPr>
        <w:t xml:space="preserve">pour tomber </w:t>
      </w:r>
      <w:r w:rsidRPr="00C55C74">
        <w:rPr>
          <w:rFonts w:ascii="Arial" w:eastAsia="Calibri" w:hAnsi="Arial" w:cs="Arial"/>
          <w:color w:val="000000" w:themeColor="text1"/>
        </w:rPr>
        <w:t>à 7</w:t>
      </w:r>
      <w:r>
        <w:rPr>
          <w:rFonts w:ascii="Arial" w:eastAsia="Calibri" w:hAnsi="Arial" w:cs="Arial"/>
          <w:color w:val="000000" w:themeColor="text1"/>
        </w:rPr>
        <w:t>9</w:t>
      </w:r>
      <w:r w:rsidR="000B0FA4">
        <w:rPr>
          <w:rFonts w:ascii="Arial" w:eastAsia="Calibri" w:hAnsi="Arial" w:cs="Arial"/>
          <w:color w:val="000000" w:themeColor="text1"/>
        </w:rPr>
        <w:t> </w:t>
      </w:r>
      <w:r w:rsidRPr="00C55C74">
        <w:rPr>
          <w:rFonts w:ascii="Arial" w:eastAsia="Calibri" w:hAnsi="Arial" w:cs="Arial"/>
          <w:color w:val="000000" w:themeColor="text1"/>
        </w:rPr>
        <w:t>000 unités</w:t>
      </w:r>
      <w:r w:rsidR="000B0FA4">
        <w:rPr>
          <w:rFonts w:ascii="Arial" w:eastAsia="Calibri" w:hAnsi="Arial" w:cs="Arial"/>
          <w:color w:val="000000" w:themeColor="text1"/>
        </w:rPr>
        <w:t>) et la chute d</w:t>
      </w:r>
      <w:r w:rsidRPr="00C55C74">
        <w:rPr>
          <w:rFonts w:ascii="Arial" w:eastAsia="Calibri" w:hAnsi="Arial" w:cs="Arial"/>
          <w:color w:val="000000" w:themeColor="text1"/>
        </w:rPr>
        <w:t xml:space="preserve">es mises en vente </w:t>
      </w:r>
      <w:r w:rsidR="000B0FA4">
        <w:rPr>
          <w:rFonts w:ascii="Arial" w:eastAsia="Calibri" w:hAnsi="Arial" w:cs="Arial"/>
          <w:color w:val="000000" w:themeColor="text1"/>
        </w:rPr>
        <w:t>de nouveaux programmes par l</w:t>
      </w:r>
      <w:r>
        <w:rPr>
          <w:rFonts w:ascii="Arial" w:eastAsia="Calibri" w:hAnsi="Arial" w:cs="Arial"/>
          <w:color w:val="000000" w:themeColor="text1"/>
        </w:rPr>
        <w:t xml:space="preserve">es promoteurs (environ -25 %) ; </w:t>
      </w:r>
      <w:r w:rsidR="000B0FA4">
        <w:rPr>
          <w:rFonts w:ascii="Arial" w:eastAsia="Calibri" w:hAnsi="Arial" w:cs="Arial"/>
          <w:color w:val="000000" w:themeColor="text1"/>
        </w:rPr>
        <w:t>mais aussi</w:t>
      </w:r>
      <w:r>
        <w:rPr>
          <w:rFonts w:ascii="Arial" w:eastAsia="Calibri" w:hAnsi="Arial" w:cs="Arial"/>
          <w:color w:val="000000" w:themeColor="text1"/>
        </w:rPr>
        <w:t xml:space="preserve"> </w:t>
      </w:r>
      <w:r w:rsidRPr="00C55C74">
        <w:rPr>
          <w:rFonts w:ascii="Arial" w:eastAsia="Calibri" w:hAnsi="Arial" w:cs="Arial"/>
          <w:color w:val="000000" w:themeColor="text1"/>
        </w:rPr>
        <w:t xml:space="preserve">la mise en place </w:t>
      </w:r>
      <w:r w:rsidR="000B0FA4">
        <w:rPr>
          <w:rFonts w:ascii="Arial" w:eastAsia="Calibri" w:hAnsi="Arial" w:cs="Arial"/>
          <w:color w:val="000000" w:themeColor="text1"/>
        </w:rPr>
        <w:t xml:space="preserve">décalée du nouveau PTZ </w:t>
      </w:r>
      <w:r>
        <w:rPr>
          <w:rFonts w:ascii="Arial" w:eastAsia="Calibri" w:hAnsi="Arial" w:cs="Arial"/>
          <w:color w:val="000000" w:themeColor="text1"/>
        </w:rPr>
        <w:t>par</w:t>
      </w:r>
      <w:r w:rsidRPr="00C55C74">
        <w:rPr>
          <w:rFonts w:ascii="Arial" w:eastAsia="Calibri" w:hAnsi="Arial" w:cs="Arial"/>
          <w:color w:val="000000" w:themeColor="text1"/>
        </w:rPr>
        <w:t xml:space="preserve"> les banques</w:t>
      </w:r>
      <w:r w:rsidR="000B0FA4">
        <w:rPr>
          <w:rFonts w:ascii="Arial" w:eastAsia="Calibri" w:hAnsi="Arial" w:cs="Arial"/>
          <w:color w:val="000000" w:themeColor="text1"/>
        </w:rPr>
        <w:t xml:space="preserve"> (temps de validation des modifications du système informatique),</w:t>
      </w:r>
      <w:r>
        <w:rPr>
          <w:rFonts w:ascii="Arial" w:eastAsia="Calibri" w:hAnsi="Arial" w:cs="Arial"/>
          <w:color w:val="000000" w:themeColor="text1"/>
        </w:rPr>
        <w:t xml:space="preserve"> </w:t>
      </w:r>
      <w:r w:rsidR="000B0FA4">
        <w:rPr>
          <w:rFonts w:ascii="Arial" w:eastAsia="Calibri" w:hAnsi="Arial" w:cs="Arial"/>
          <w:color w:val="000000" w:themeColor="text1"/>
        </w:rPr>
        <w:t>dont la distribution</w:t>
      </w:r>
      <w:r w:rsidRPr="00C55C74">
        <w:rPr>
          <w:rFonts w:ascii="Arial" w:eastAsia="Calibri" w:hAnsi="Arial" w:cs="Arial"/>
          <w:color w:val="000000" w:themeColor="text1"/>
        </w:rPr>
        <w:t xml:space="preserve"> </w:t>
      </w:r>
      <w:r>
        <w:rPr>
          <w:rFonts w:ascii="Arial" w:eastAsia="Calibri" w:hAnsi="Arial" w:cs="Arial"/>
          <w:color w:val="000000" w:themeColor="text1"/>
        </w:rPr>
        <w:t xml:space="preserve">ne </w:t>
      </w:r>
      <w:r w:rsidRPr="00C55C74">
        <w:rPr>
          <w:rFonts w:ascii="Arial" w:eastAsia="Calibri" w:hAnsi="Arial" w:cs="Arial"/>
          <w:color w:val="000000" w:themeColor="text1"/>
        </w:rPr>
        <w:t xml:space="preserve">devrait </w:t>
      </w:r>
      <w:r w:rsidR="000B0FA4">
        <w:rPr>
          <w:rFonts w:ascii="Arial" w:eastAsia="Calibri" w:hAnsi="Arial" w:cs="Arial"/>
          <w:color w:val="000000" w:themeColor="text1"/>
        </w:rPr>
        <w:t>pouvoir reprendre</w:t>
      </w:r>
      <w:r>
        <w:rPr>
          <w:rFonts w:ascii="Arial" w:eastAsia="Calibri" w:hAnsi="Arial" w:cs="Arial"/>
          <w:color w:val="000000" w:themeColor="text1"/>
        </w:rPr>
        <w:t xml:space="preserve"> qu’à partir du</w:t>
      </w:r>
      <w:r w:rsidRPr="00C55C74">
        <w:rPr>
          <w:rFonts w:ascii="Arial" w:eastAsia="Calibri" w:hAnsi="Arial" w:cs="Arial"/>
          <w:color w:val="000000" w:themeColor="text1"/>
        </w:rPr>
        <w:t xml:space="preserve"> printemps 2024. </w:t>
      </w:r>
      <w:r w:rsidR="000B0FA4">
        <w:rPr>
          <w:rFonts w:ascii="Arial" w:eastAsia="Calibri" w:hAnsi="Arial" w:cs="Arial"/>
          <w:color w:val="000000" w:themeColor="text1"/>
        </w:rPr>
        <w:t xml:space="preserve">Il faut encore ajouter la disparition annoncée du </w:t>
      </w:r>
      <w:r w:rsidR="00232018">
        <w:rPr>
          <w:rFonts w:ascii="Arial" w:eastAsia="Calibri" w:hAnsi="Arial" w:cs="Arial"/>
          <w:color w:val="000000" w:themeColor="text1"/>
        </w:rPr>
        <w:t>« </w:t>
      </w:r>
      <w:r w:rsidR="000B0FA4">
        <w:rPr>
          <w:rFonts w:ascii="Arial" w:eastAsia="Calibri" w:hAnsi="Arial" w:cs="Arial"/>
          <w:color w:val="000000" w:themeColor="text1"/>
        </w:rPr>
        <w:t>Pinel » fin 2024, sans remplaçant.</w:t>
      </w:r>
    </w:p>
    <w:p w14:paraId="1C62236D" w14:textId="31A44EFD" w:rsidR="00CA0979" w:rsidRPr="00E356CB" w:rsidRDefault="00671842" w:rsidP="00CA0979">
      <w:pPr>
        <w:spacing w:after="120" w:line="360" w:lineRule="auto"/>
        <w:jc w:val="both"/>
        <w:rPr>
          <w:rFonts w:ascii="Arial" w:eastAsia="Calibri" w:hAnsi="Arial" w:cs="Arial"/>
          <w:color w:val="000000" w:themeColor="text1"/>
        </w:rPr>
      </w:pPr>
      <w:r>
        <w:rPr>
          <w:rFonts w:ascii="Arial" w:eastAsia="Calibri" w:hAnsi="Arial" w:cs="Arial"/>
          <w:color w:val="000000" w:themeColor="text1"/>
        </w:rPr>
        <w:t xml:space="preserve">Malgré l’érosion des taux d’intérêt en cours d’année, </w:t>
      </w:r>
      <w:r w:rsidR="00CA0979" w:rsidRPr="00C66E6A">
        <w:rPr>
          <w:rFonts w:ascii="Arial" w:eastAsia="Calibri" w:hAnsi="Arial" w:cs="Arial"/>
          <w:color w:val="000000" w:themeColor="text1"/>
        </w:rPr>
        <w:t xml:space="preserve">les autorisations de logements abandonneraient </w:t>
      </w:r>
      <w:r>
        <w:rPr>
          <w:rFonts w:ascii="Arial" w:eastAsia="Calibri" w:hAnsi="Arial" w:cs="Arial"/>
          <w:color w:val="000000" w:themeColor="text1"/>
        </w:rPr>
        <w:t xml:space="preserve">donc </w:t>
      </w:r>
      <w:r w:rsidR="00CA0979" w:rsidRPr="00C66E6A">
        <w:rPr>
          <w:rFonts w:ascii="Arial" w:eastAsia="Calibri" w:hAnsi="Arial" w:cs="Arial"/>
          <w:color w:val="000000" w:themeColor="text1"/>
        </w:rPr>
        <w:t>encore 1</w:t>
      </w:r>
      <w:r w:rsidR="00CA0979">
        <w:rPr>
          <w:rFonts w:ascii="Arial" w:eastAsia="Calibri" w:hAnsi="Arial" w:cs="Arial"/>
          <w:color w:val="000000" w:themeColor="text1"/>
        </w:rPr>
        <w:t>2,1 </w:t>
      </w:r>
      <w:r w:rsidR="00CA0979" w:rsidRPr="00C66E6A">
        <w:rPr>
          <w:rFonts w:ascii="Arial" w:eastAsia="Calibri" w:hAnsi="Arial" w:cs="Arial"/>
          <w:color w:val="000000" w:themeColor="text1"/>
        </w:rPr>
        <w:t>%</w:t>
      </w:r>
      <w:r>
        <w:rPr>
          <w:rFonts w:ascii="Arial" w:eastAsia="Calibri" w:hAnsi="Arial" w:cs="Arial"/>
          <w:color w:val="000000" w:themeColor="text1"/>
        </w:rPr>
        <w:t xml:space="preserve"> en 2024</w:t>
      </w:r>
      <w:r w:rsidR="00CA0979" w:rsidRPr="00C66E6A">
        <w:rPr>
          <w:rFonts w:ascii="Arial" w:eastAsia="Calibri" w:hAnsi="Arial" w:cs="Arial"/>
          <w:color w:val="000000" w:themeColor="text1"/>
        </w:rPr>
        <w:t xml:space="preserve">. </w:t>
      </w:r>
      <w:r w:rsidR="00CA0979">
        <w:rPr>
          <w:rFonts w:ascii="Arial" w:eastAsia="Calibri" w:hAnsi="Arial" w:cs="Arial"/>
          <w:color w:val="000000" w:themeColor="text1"/>
        </w:rPr>
        <w:t>La chute</w:t>
      </w:r>
      <w:r w:rsidR="00CA0979" w:rsidRPr="00C66E6A">
        <w:rPr>
          <w:rFonts w:ascii="Arial" w:eastAsia="Calibri" w:hAnsi="Arial" w:cs="Arial"/>
          <w:color w:val="000000" w:themeColor="text1"/>
        </w:rPr>
        <w:t xml:space="preserve"> </w:t>
      </w:r>
      <w:r w:rsidR="00CA0979">
        <w:rPr>
          <w:rFonts w:ascii="Arial" w:eastAsia="Calibri" w:hAnsi="Arial" w:cs="Arial"/>
          <w:color w:val="000000" w:themeColor="text1"/>
        </w:rPr>
        <w:t xml:space="preserve">resterait </w:t>
      </w:r>
      <w:r w:rsidR="00CA0979" w:rsidRPr="00C66E6A">
        <w:rPr>
          <w:rFonts w:ascii="Arial" w:eastAsia="Calibri" w:hAnsi="Arial" w:cs="Arial"/>
          <w:color w:val="000000" w:themeColor="text1"/>
        </w:rPr>
        <w:t>plus marquée</w:t>
      </w:r>
      <w:r w:rsidR="00CA0979">
        <w:rPr>
          <w:rFonts w:ascii="Arial" w:eastAsia="Calibri" w:hAnsi="Arial" w:cs="Arial"/>
          <w:color w:val="000000" w:themeColor="text1"/>
        </w:rPr>
        <w:t xml:space="preserve"> dans l’individuel que dans le collectif (-16,4 % </w:t>
      </w:r>
      <w:r w:rsidR="00CA0979" w:rsidRPr="00AF7CB2">
        <w:rPr>
          <w:rFonts w:ascii="Arial" w:eastAsia="Calibri" w:hAnsi="Arial" w:cs="Arial"/>
          <w:i/>
          <w:iCs/>
          <w:color w:val="000000" w:themeColor="text1"/>
        </w:rPr>
        <w:t>versus</w:t>
      </w:r>
      <w:r w:rsidR="00CA0979">
        <w:rPr>
          <w:rFonts w:ascii="Arial" w:eastAsia="Calibri" w:hAnsi="Arial" w:cs="Arial"/>
          <w:color w:val="000000" w:themeColor="text1"/>
        </w:rPr>
        <w:t xml:space="preserve"> -9,3 %)</w:t>
      </w:r>
      <w:r w:rsidR="00CA0979" w:rsidRPr="00E356CB">
        <w:rPr>
          <w:rFonts w:ascii="Arial" w:eastAsia="Calibri" w:hAnsi="Arial" w:cs="Arial"/>
          <w:color w:val="000000" w:themeColor="text1"/>
        </w:rPr>
        <w:t>.</w:t>
      </w:r>
    </w:p>
    <w:p w14:paraId="3A3CC646" w14:textId="51BD32C6" w:rsidR="005620F5" w:rsidRPr="00C66E6A"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Le recul</w:t>
      </w:r>
      <w:r w:rsidRPr="00C66E6A">
        <w:rPr>
          <w:rFonts w:ascii="Arial" w:eastAsia="Calibri" w:hAnsi="Arial" w:cs="Arial"/>
          <w:color w:val="000000" w:themeColor="text1"/>
        </w:rPr>
        <w:t xml:space="preserve"> des autorisations se répercuterait sur les mises en chantier</w:t>
      </w:r>
      <w:r>
        <w:rPr>
          <w:rFonts w:ascii="Arial" w:eastAsia="Calibri" w:hAnsi="Arial" w:cs="Arial"/>
          <w:color w:val="000000" w:themeColor="text1"/>
        </w:rPr>
        <w:t xml:space="preserve">, </w:t>
      </w:r>
      <w:r w:rsidR="00671842">
        <w:rPr>
          <w:rFonts w:ascii="Arial" w:eastAsia="Calibri" w:hAnsi="Arial" w:cs="Arial"/>
          <w:color w:val="000000" w:themeColor="text1"/>
        </w:rPr>
        <w:t>qui chuteraient</w:t>
      </w:r>
      <w:r w:rsidRPr="00C66E6A">
        <w:rPr>
          <w:rFonts w:ascii="Arial" w:eastAsia="Calibri" w:hAnsi="Arial" w:cs="Arial"/>
          <w:color w:val="000000" w:themeColor="text1"/>
        </w:rPr>
        <w:t xml:space="preserve"> de 1</w:t>
      </w:r>
      <w:r>
        <w:rPr>
          <w:rFonts w:ascii="Arial" w:eastAsia="Calibri" w:hAnsi="Arial" w:cs="Arial"/>
          <w:color w:val="000000" w:themeColor="text1"/>
        </w:rPr>
        <w:t>5</w:t>
      </w:r>
      <w:r w:rsidRPr="00C66E6A">
        <w:rPr>
          <w:rFonts w:ascii="Arial" w:eastAsia="Calibri" w:hAnsi="Arial" w:cs="Arial"/>
          <w:color w:val="000000" w:themeColor="text1"/>
        </w:rPr>
        <w:t>,9</w:t>
      </w:r>
      <w:r>
        <w:rPr>
          <w:rFonts w:ascii="Arial" w:eastAsia="Calibri" w:hAnsi="Arial" w:cs="Arial"/>
          <w:color w:val="000000" w:themeColor="text1"/>
        </w:rPr>
        <w:t> </w:t>
      </w:r>
      <w:r w:rsidRPr="00C66E6A">
        <w:rPr>
          <w:rFonts w:ascii="Arial" w:eastAsia="Calibri" w:hAnsi="Arial" w:cs="Arial"/>
          <w:color w:val="000000" w:themeColor="text1"/>
        </w:rPr>
        <w:t>% en 2024, soit une perte de près de 4</w:t>
      </w:r>
      <w:r w:rsidR="001A390A">
        <w:rPr>
          <w:rFonts w:ascii="Arial" w:eastAsia="Calibri" w:hAnsi="Arial" w:cs="Arial"/>
          <w:color w:val="000000" w:themeColor="text1"/>
        </w:rPr>
        <w:t>6</w:t>
      </w:r>
      <w:r w:rsidRPr="00C66E6A">
        <w:rPr>
          <w:rFonts w:ascii="Arial" w:eastAsia="Calibri" w:hAnsi="Arial" w:cs="Arial"/>
          <w:color w:val="000000" w:themeColor="text1"/>
        </w:rPr>
        <w:t xml:space="preserve"> 000 unités en un an. Ainsi, </w:t>
      </w:r>
      <w:r w:rsidR="00671842">
        <w:rPr>
          <w:rFonts w:ascii="Arial" w:eastAsia="Calibri" w:hAnsi="Arial" w:cs="Arial"/>
          <w:color w:val="000000" w:themeColor="text1"/>
        </w:rPr>
        <w:t>le nombre de logements commencés crèverait son plancher historique pour tomber à</w:t>
      </w:r>
      <w:r w:rsidRPr="00C66E6A">
        <w:rPr>
          <w:rFonts w:ascii="Arial" w:eastAsia="Calibri" w:hAnsi="Arial" w:cs="Arial"/>
          <w:color w:val="000000" w:themeColor="text1"/>
        </w:rPr>
        <w:t xml:space="preserve"> 241</w:t>
      </w:r>
      <w:r w:rsidR="00671842">
        <w:rPr>
          <w:rFonts w:ascii="Arial" w:eastAsia="Calibri" w:hAnsi="Arial" w:cs="Arial"/>
          <w:color w:val="000000" w:themeColor="text1"/>
        </w:rPr>
        <w:t> </w:t>
      </w:r>
      <w:r w:rsidRPr="00C66E6A">
        <w:rPr>
          <w:rFonts w:ascii="Arial" w:eastAsia="Calibri" w:hAnsi="Arial" w:cs="Arial"/>
          <w:color w:val="000000" w:themeColor="text1"/>
        </w:rPr>
        <w:t xml:space="preserve">000 </w:t>
      </w:r>
      <w:r w:rsidR="00671842">
        <w:rPr>
          <w:rFonts w:ascii="Arial" w:eastAsia="Calibri" w:hAnsi="Arial" w:cs="Arial"/>
          <w:color w:val="000000" w:themeColor="text1"/>
        </w:rPr>
        <w:t>unités</w:t>
      </w:r>
      <w:r w:rsidRPr="00C66E6A">
        <w:rPr>
          <w:rFonts w:ascii="Arial" w:eastAsia="Calibri" w:hAnsi="Arial" w:cs="Arial"/>
          <w:color w:val="000000" w:themeColor="text1"/>
        </w:rPr>
        <w:t xml:space="preserve">, </w:t>
      </w:r>
      <w:r w:rsidR="00671842">
        <w:rPr>
          <w:rFonts w:ascii="Arial" w:eastAsia="Calibri" w:hAnsi="Arial" w:cs="Arial"/>
          <w:color w:val="000000" w:themeColor="text1"/>
        </w:rPr>
        <w:t>120 000 en-deçà de s</w:t>
      </w:r>
      <w:r>
        <w:rPr>
          <w:rFonts w:ascii="Arial" w:eastAsia="Calibri" w:hAnsi="Arial" w:cs="Arial"/>
          <w:color w:val="000000" w:themeColor="text1"/>
        </w:rPr>
        <w:t>a moyenne de long terme</w:t>
      </w:r>
      <w:r w:rsidRPr="00C66E6A">
        <w:rPr>
          <w:rFonts w:ascii="Arial" w:eastAsia="Calibri" w:hAnsi="Arial" w:cs="Arial"/>
          <w:color w:val="000000" w:themeColor="text1"/>
        </w:rPr>
        <w:t>. Par segment, l’individuel chuterait de 21,</w:t>
      </w:r>
      <w:r>
        <w:rPr>
          <w:rFonts w:ascii="Arial" w:eastAsia="Calibri" w:hAnsi="Arial" w:cs="Arial"/>
          <w:color w:val="000000" w:themeColor="text1"/>
        </w:rPr>
        <w:t>5</w:t>
      </w:r>
      <w:r w:rsidR="00671842">
        <w:rPr>
          <w:rFonts w:ascii="Arial" w:eastAsia="Calibri" w:hAnsi="Arial" w:cs="Arial"/>
          <w:color w:val="000000" w:themeColor="text1"/>
        </w:rPr>
        <w:t> </w:t>
      </w:r>
      <w:r w:rsidRPr="00C66E6A">
        <w:rPr>
          <w:rFonts w:ascii="Arial" w:eastAsia="Calibri" w:hAnsi="Arial" w:cs="Arial"/>
          <w:color w:val="000000" w:themeColor="text1"/>
        </w:rPr>
        <w:t>%</w:t>
      </w:r>
      <w:r w:rsidR="00671842">
        <w:rPr>
          <w:rFonts w:ascii="Arial" w:eastAsia="Calibri" w:hAnsi="Arial" w:cs="Arial"/>
          <w:color w:val="000000" w:themeColor="text1"/>
        </w:rPr>
        <w:t xml:space="preserve"> (-27 000 logements)</w:t>
      </w:r>
      <w:r>
        <w:rPr>
          <w:rFonts w:ascii="Arial" w:eastAsia="Calibri" w:hAnsi="Arial" w:cs="Arial"/>
          <w:color w:val="000000" w:themeColor="text1"/>
        </w:rPr>
        <w:t>,</w:t>
      </w:r>
      <w:r w:rsidRPr="00C66E6A">
        <w:rPr>
          <w:rFonts w:ascii="Arial" w:eastAsia="Calibri" w:hAnsi="Arial" w:cs="Arial"/>
          <w:color w:val="000000" w:themeColor="text1"/>
        </w:rPr>
        <w:t xml:space="preserve"> alors que le collectif se replierait </w:t>
      </w:r>
      <w:r>
        <w:rPr>
          <w:rFonts w:ascii="Arial" w:eastAsia="Calibri" w:hAnsi="Arial" w:cs="Arial"/>
          <w:color w:val="000000" w:themeColor="text1"/>
        </w:rPr>
        <w:t xml:space="preserve">de </w:t>
      </w:r>
      <w:r w:rsidRPr="00C66E6A">
        <w:rPr>
          <w:rFonts w:ascii="Arial" w:eastAsia="Calibri" w:hAnsi="Arial" w:cs="Arial"/>
          <w:color w:val="000000" w:themeColor="text1"/>
        </w:rPr>
        <w:t>1</w:t>
      </w:r>
      <w:r>
        <w:rPr>
          <w:rFonts w:ascii="Arial" w:eastAsia="Calibri" w:hAnsi="Arial" w:cs="Arial"/>
          <w:color w:val="000000" w:themeColor="text1"/>
        </w:rPr>
        <w:t>1</w:t>
      </w:r>
      <w:r w:rsidRPr="00C66E6A">
        <w:rPr>
          <w:rFonts w:ascii="Arial" w:eastAsia="Calibri" w:hAnsi="Arial" w:cs="Arial"/>
          <w:color w:val="000000" w:themeColor="text1"/>
        </w:rPr>
        <w:t>,</w:t>
      </w:r>
      <w:r>
        <w:rPr>
          <w:rFonts w:ascii="Arial" w:eastAsia="Calibri" w:hAnsi="Arial" w:cs="Arial"/>
          <w:color w:val="000000" w:themeColor="text1"/>
        </w:rPr>
        <w:t>7</w:t>
      </w:r>
      <w:r w:rsidR="00671842">
        <w:rPr>
          <w:rFonts w:ascii="Arial" w:eastAsia="Calibri" w:hAnsi="Arial" w:cs="Arial"/>
          <w:color w:val="000000" w:themeColor="text1"/>
        </w:rPr>
        <w:t> </w:t>
      </w:r>
      <w:r w:rsidRPr="00C66E6A">
        <w:rPr>
          <w:rFonts w:ascii="Arial" w:eastAsia="Calibri" w:hAnsi="Arial" w:cs="Arial"/>
          <w:color w:val="000000" w:themeColor="text1"/>
        </w:rPr>
        <w:t>%</w:t>
      </w:r>
      <w:r w:rsidR="00327DC2">
        <w:rPr>
          <w:rFonts w:ascii="Arial" w:eastAsia="Calibri" w:hAnsi="Arial" w:cs="Arial"/>
          <w:color w:val="000000" w:themeColor="text1"/>
        </w:rPr>
        <w:t xml:space="preserve"> </w:t>
      </w:r>
      <w:r w:rsidR="00671842">
        <w:rPr>
          <w:rFonts w:ascii="Arial" w:eastAsia="Calibri" w:hAnsi="Arial" w:cs="Arial"/>
          <w:color w:val="000000" w:themeColor="text1"/>
        </w:rPr>
        <w:t>(-19 000)</w:t>
      </w:r>
      <w:r w:rsidRPr="00C66E6A">
        <w:rPr>
          <w:rFonts w:ascii="Arial" w:eastAsia="Calibri" w:hAnsi="Arial" w:cs="Arial"/>
          <w:color w:val="000000" w:themeColor="text1"/>
        </w:rPr>
        <w:t>.</w:t>
      </w:r>
    </w:p>
    <w:p w14:paraId="488F3708" w14:textId="16113480" w:rsidR="005620F5" w:rsidRDefault="005620F5" w:rsidP="005620F5">
      <w:pPr>
        <w:spacing w:after="120" w:line="360" w:lineRule="auto"/>
        <w:jc w:val="both"/>
        <w:rPr>
          <w:rFonts w:ascii="Arial" w:eastAsia="Calibri" w:hAnsi="Arial" w:cs="Arial"/>
          <w:color w:val="000000" w:themeColor="text1"/>
        </w:rPr>
      </w:pPr>
      <w:r w:rsidRPr="00C66E6A">
        <w:rPr>
          <w:rFonts w:ascii="Arial" w:eastAsia="Calibri" w:hAnsi="Arial" w:cs="Arial"/>
          <w:color w:val="000000" w:themeColor="text1"/>
        </w:rPr>
        <w:t xml:space="preserve">Après une </w:t>
      </w:r>
      <w:r>
        <w:rPr>
          <w:rFonts w:ascii="Arial" w:eastAsia="Calibri" w:hAnsi="Arial" w:cs="Arial"/>
          <w:color w:val="000000" w:themeColor="text1"/>
        </w:rPr>
        <w:t xml:space="preserve">première baisse de </w:t>
      </w:r>
      <w:r w:rsidRPr="00C66E6A">
        <w:rPr>
          <w:rFonts w:ascii="Arial" w:eastAsia="Calibri" w:hAnsi="Arial" w:cs="Arial"/>
          <w:color w:val="000000" w:themeColor="text1"/>
        </w:rPr>
        <w:t>7,</w:t>
      </w:r>
      <w:r>
        <w:rPr>
          <w:rFonts w:ascii="Arial" w:eastAsia="Calibri" w:hAnsi="Arial" w:cs="Arial"/>
          <w:color w:val="000000" w:themeColor="text1"/>
        </w:rPr>
        <w:t>8</w:t>
      </w:r>
      <w:r w:rsidR="00671842">
        <w:rPr>
          <w:rFonts w:ascii="Arial" w:eastAsia="Calibri" w:hAnsi="Arial" w:cs="Arial"/>
          <w:color w:val="000000" w:themeColor="text1"/>
        </w:rPr>
        <w:t> </w:t>
      </w:r>
      <w:r w:rsidRPr="00C66E6A">
        <w:rPr>
          <w:rFonts w:ascii="Arial" w:eastAsia="Calibri" w:hAnsi="Arial" w:cs="Arial"/>
          <w:color w:val="000000" w:themeColor="text1"/>
        </w:rPr>
        <w:t xml:space="preserve">% en </w:t>
      </w:r>
      <w:r>
        <w:rPr>
          <w:rFonts w:ascii="Arial" w:eastAsia="Calibri" w:hAnsi="Arial" w:cs="Arial"/>
          <w:color w:val="000000" w:themeColor="text1"/>
        </w:rPr>
        <w:t xml:space="preserve">volume en </w:t>
      </w:r>
      <w:r w:rsidRPr="00C66E6A">
        <w:rPr>
          <w:rFonts w:ascii="Arial" w:eastAsia="Calibri" w:hAnsi="Arial" w:cs="Arial"/>
          <w:color w:val="000000" w:themeColor="text1"/>
        </w:rPr>
        <w:t>2023, l</w:t>
      </w:r>
      <w:r w:rsidR="00671842">
        <w:rPr>
          <w:rFonts w:ascii="Arial" w:eastAsia="Calibri" w:hAnsi="Arial" w:cs="Arial"/>
          <w:color w:val="000000" w:themeColor="text1"/>
        </w:rPr>
        <w:t>a production bâtiment en</w:t>
      </w:r>
      <w:r w:rsidRPr="00C66E6A">
        <w:rPr>
          <w:rFonts w:ascii="Arial" w:eastAsia="Calibri" w:hAnsi="Arial" w:cs="Arial"/>
          <w:color w:val="000000" w:themeColor="text1"/>
        </w:rPr>
        <w:t xml:space="preserve"> logement neuf </w:t>
      </w:r>
      <w:r w:rsidR="00671842">
        <w:rPr>
          <w:rFonts w:ascii="Arial" w:eastAsia="Calibri" w:hAnsi="Arial" w:cs="Arial"/>
          <w:color w:val="000000" w:themeColor="text1"/>
        </w:rPr>
        <w:t xml:space="preserve">plongerait de </w:t>
      </w:r>
      <w:r w:rsidRPr="00C66E6A">
        <w:rPr>
          <w:rFonts w:ascii="Arial" w:eastAsia="Calibri" w:hAnsi="Arial" w:cs="Arial"/>
          <w:color w:val="000000" w:themeColor="text1"/>
        </w:rPr>
        <w:t>21,</w:t>
      </w:r>
      <w:r>
        <w:rPr>
          <w:rFonts w:ascii="Arial" w:eastAsia="Calibri" w:hAnsi="Arial" w:cs="Arial"/>
          <w:color w:val="000000" w:themeColor="text1"/>
        </w:rPr>
        <w:t>3</w:t>
      </w:r>
      <w:r w:rsidR="00671842">
        <w:rPr>
          <w:rFonts w:ascii="Arial" w:eastAsia="Calibri" w:hAnsi="Arial" w:cs="Arial"/>
          <w:color w:val="000000" w:themeColor="text1"/>
        </w:rPr>
        <w:t> </w:t>
      </w:r>
      <w:r w:rsidRPr="00C66E6A">
        <w:rPr>
          <w:rFonts w:ascii="Arial" w:eastAsia="Calibri" w:hAnsi="Arial" w:cs="Arial"/>
          <w:color w:val="000000" w:themeColor="text1"/>
        </w:rPr>
        <w:t>%</w:t>
      </w:r>
      <w:r w:rsidR="00671842">
        <w:rPr>
          <w:rFonts w:ascii="Arial" w:eastAsia="Calibri" w:hAnsi="Arial" w:cs="Arial"/>
          <w:color w:val="000000" w:themeColor="text1"/>
        </w:rPr>
        <w:t xml:space="preserve"> en 2024</w:t>
      </w:r>
      <w:r w:rsidRPr="00C66E6A">
        <w:rPr>
          <w:rFonts w:ascii="Arial" w:eastAsia="Calibri" w:hAnsi="Arial" w:cs="Arial"/>
          <w:color w:val="000000" w:themeColor="text1"/>
        </w:rPr>
        <w:t xml:space="preserve">. L’individuel </w:t>
      </w:r>
      <w:r>
        <w:rPr>
          <w:rFonts w:ascii="Arial" w:eastAsia="Calibri" w:hAnsi="Arial" w:cs="Arial"/>
          <w:color w:val="000000" w:themeColor="text1"/>
        </w:rPr>
        <w:t>chute</w:t>
      </w:r>
      <w:r w:rsidR="00671842">
        <w:rPr>
          <w:rFonts w:ascii="Arial" w:eastAsia="Calibri" w:hAnsi="Arial" w:cs="Arial"/>
          <w:color w:val="000000" w:themeColor="text1"/>
        </w:rPr>
        <w:t>rait un peu</w:t>
      </w:r>
      <w:r w:rsidRPr="00C66E6A">
        <w:rPr>
          <w:rFonts w:ascii="Arial" w:eastAsia="Calibri" w:hAnsi="Arial" w:cs="Arial"/>
          <w:color w:val="000000" w:themeColor="text1"/>
        </w:rPr>
        <w:t xml:space="preserve"> plus </w:t>
      </w:r>
      <w:r w:rsidR="00671842">
        <w:rPr>
          <w:rFonts w:ascii="Arial" w:eastAsia="Calibri" w:hAnsi="Arial" w:cs="Arial"/>
          <w:color w:val="000000" w:themeColor="text1"/>
        </w:rPr>
        <w:t>fortement que le collectif</w:t>
      </w:r>
      <w:r w:rsidRPr="00C66E6A">
        <w:rPr>
          <w:rFonts w:ascii="Arial" w:eastAsia="Calibri" w:hAnsi="Arial" w:cs="Arial"/>
          <w:color w:val="000000" w:themeColor="text1"/>
        </w:rPr>
        <w:t>, à -</w:t>
      </w:r>
      <w:r>
        <w:rPr>
          <w:rFonts w:ascii="Arial" w:eastAsia="Calibri" w:hAnsi="Arial" w:cs="Arial"/>
          <w:color w:val="000000" w:themeColor="text1"/>
        </w:rPr>
        <w:t>23</w:t>
      </w:r>
      <w:r w:rsidRPr="00C66E6A">
        <w:rPr>
          <w:rFonts w:ascii="Arial" w:eastAsia="Calibri" w:hAnsi="Arial" w:cs="Arial"/>
          <w:color w:val="000000" w:themeColor="text1"/>
        </w:rPr>
        <w:t>,</w:t>
      </w:r>
      <w:r>
        <w:rPr>
          <w:rFonts w:ascii="Arial" w:eastAsia="Calibri" w:hAnsi="Arial" w:cs="Arial"/>
          <w:color w:val="000000" w:themeColor="text1"/>
        </w:rPr>
        <w:t>7 </w:t>
      </w:r>
      <w:r w:rsidRPr="00C66E6A">
        <w:rPr>
          <w:rFonts w:ascii="Arial" w:eastAsia="Calibri" w:hAnsi="Arial" w:cs="Arial"/>
          <w:color w:val="000000" w:themeColor="text1"/>
        </w:rPr>
        <w:t xml:space="preserve">% contre </w:t>
      </w:r>
      <w:r>
        <w:rPr>
          <w:rFonts w:ascii="Arial" w:eastAsia="Calibri" w:hAnsi="Arial" w:cs="Arial"/>
          <w:color w:val="000000" w:themeColor="text1"/>
        </w:rPr>
        <w:t>-</w:t>
      </w:r>
      <w:r w:rsidRPr="00C66E6A">
        <w:rPr>
          <w:rFonts w:ascii="Arial" w:eastAsia="Calibri" w:hAnsi="Arial" w:cs="Arial"/>
          <w:color w:val="000000" w:themeColor="text1"/>
        </w:rPr>
        <w:t>18,</w:t>
      </w:r>
      <w:r>
        <w:rPr>
          <w:rFonts w:ascii="Arial" w:eastAsia="Calibri" w:hAnsi="Arial" w:cs="Arial"/>
          <w:color w:val="000000" w:themeColor="text1"/>
        </w:rPr>
        <w:t>4 </w:t>
      </w:r>
      <w:r w:rsidRPr="00C66E6A">
        <w:rPr>
          <w:rFonts w:ascii="Arial" w:eastAsia="Calibri" w:hAnsi="Arial" w:cs="Arial"/>
          <w:color w:val="000000" w:themeColor="text1"/>
        </w:rPr>
        <w:t>%.</w:t>
      </w:r>
    </w:p>
    <w:p w14:paraId="7F7E1E8A" w14:textId="3DF81E29" w:rsidR="00BD53DD" w:rsidRPr="00CD7FFC" w:rsidRDefault="00BD53DD" w:rsidP="00C10868">
      <w:pPr>
        <w:rPr>
          <w:rFonts w:ascii="Arial" w:eastAsia="Calibri" w:hAnsi="Arial" w:cs="Arial"/>
          <w:color w:val="000000" w:themeColor="text1"/>
        </w:rPr>
      </w:pPr>
      <w:r w:rsidRPr="00CD7FFC">
        <w:rPr>
          <w:rFonts w:ascii="Arial" w:eastAsia="Calibri" w:hAnsi="Arial" w:cs="Arial"/>
          <w:color w:val="000000" w:themeColor="text1"/>
          <w:u w:val="single"/>
        </w:rPr>
        <w:lastRenderedPageBreak/>
        <w:t>3.2 Le non résidentiel neuf</w:t>
      </w:r>
    </w:p>
    <w:p w14:paraId="5CA525EF" w14:textId="569DE692" w:rsidR="005620F5" w:rsidRPr="009F6DCF" w:rsidRDefault="005620F5" w:rsidP="005620F5">
      <w:pPr>
        <w:spacing w:after="120" w:line="360" w:lineRule="auto"/>
        <w:jc w:val="both"/>
        <w:rPr>
          <w:rFonts w:ascii="Arial" w:eastAsia="Calibri" w:hAnsi="Arial" w:cs="Arial"/>
          <w:color w:val="000000" w:themeColor="text1"/>
        </w:rPr>
      </w:pPr>
      <w:r w:rsidRPr="009F6DCF">
        <w:rPr>
          <w:rFonts w:ascii="Arial" w:eastAsia="Calibri" w:hAnsi="Arial" w:cs="Arial"/>
          <w:color w:val="000000" w:themeColor="text1"/>
        </w:rPr>
        <w:t>En 2024, les surfaces autorisées de bâtiments non résidentiels enregistrerai</w:t>
      </w:r>
      <w:r w:rsidR="00641F44">
        <w:rPr>
          <w:rFonts w:ascii="Arial" w:eastAsia="Calibri" w:hAnsi="Arial" w:cs="Arial"/>
          <w:color w:val="000000" w:themeColor="text1"/>
        </w:rPr>
        <w:t>en</w:t>
      </w:r>
      <w:r w:rsidRPr="009F6DCF">
        <w:rPr>
          <w:rFonts w:ascii="Arial" w:eastAsia="Calibri" w:hAnsi="Arial" w:cs="Arial"/>
          <w:color w:val="000000" w:themeColor="text1"/>
        </w:rPr>
        <w:t>t une petite hausse de 1,6</w:t>
      </w:r>
      <w:r w:rsidR="00641F44">
        <w:rPr>
          <w:rFonts w:ascii="Arial" w:eastAsia="Calibri" w:hAnsi="Arial" w:cs="Arial"/>
          <w:color w:val="000000" w:themeColor="text1"/>
        </w:rPr>
        <w:t> </w:t>
      </w:r>
      <w:r w:rsidRPr="009F6DCF">
        <w:rPr>
          <w:rFonts w:ascii="Arial" w:eastAsia="Calibri" w:hAnsi="Arial" w:cs="Arial"/>
          <w:color w:val="000000" w:themeColor="text1"/>
        </w:rPr>
        <w:t xml:space="preserve">%. </w:t>
      </w:r>
    </w:p>
    <w:p w14:paraId="46AD167E" w14:textId="55DB6099" w:rsidR="005620F5" w:rsidRPr="009F6DCF" w:rsidRDefault="00641F44"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L</w:t>
      </w:r>
      <w:r w:rsidR="005620F5" w:rsidRPr="009F6DCF">
        <w:rPr>
          <w:rFonts w:ascii="Arial" w:eastAsia="Calibri" w:hAnsi="Arial" w:cs="Arial"/>
          <w:color w:val="000000" w:themeColor="text1"/>
        </w:rPr>
        <w:t xml:space="preserve">es bâtiments administratifs connaîtraient </w:t>
      </w:r>
      <w:r>
        <w:rPr>
          <w:rFonts w:ascii="Arial" w:eastAsia="Calibri" w:hAnsi="Arial" w:cs="Arial"/>
          <w:color w:val="000000" w:themeColor="text1"/>
        </w:rPr>
        <w:t>une progression soutenue</w:t>
      </w:r>
      <w:r w:rsidR="005620F5" w:rsidRPr="009F6DCF">
        <w:rPr>
          <w:rFonts w:ascii="Arial" w:eastAsia="Calibri" w:hAnsi="Arial" w:cs="Arial"/>
          <w:color w:val="000000" w:themeColor="text1"/>
        </w:rPr>
        <w:t xml:space="preserve"> </w:t>
      </w:r>
      <w:r w:rsidR="005620F5">
        <w:rPr>
          <w:rFonts w:ascii="Arial" w:eastAsia="Calibri" w:hAnsi="Arial" w:cs="Arial"/>
          <w:color w:val="000000" w:themeColor="text1"/>
        </w:rPr>
        <w:t>(+</w:t>
      </w:r>
      <w:r w:rsidR="005620F5" w:rsidRPr="009F6DCF">
        <w:rPr>
          <w:rFonts w:ascii="Arial" w:eastAsia="Calibri" w:hAnsi="Arial" w:cs="Arial"/>
          <w:color w:val="000000" w:themeColor="text1"/>
        </w:rPr>
        <w:t>8,7</w:t>
      </w:r>
      <w:r>
        <w:rPr>
          <w:rFonts w:ascii="Arial" w:eastAsia="Calibri" w:hAnsi="Arial" w:cs="Arial"/>
          <w:color w:val="000000" w:themeColor="text1"/>
        </w:rPr>
        <w:t> </w:t>
      </w:r>
      <w:r w:rsidR="005620F5" w:rsidRPr="009F6DCF">
        <w:rPr>
          <w:rFonts w:ascii="Arial" w:eastAsia="Calibri" w:hAnsi="Arial" w:cs="Arial"/>
          <w:color w:val="000000" w:themeColor="text1"/>
        </w:rPr>
        <w:t>%</w:t>
      </w:r>
      <w:r w:rsidR="005620F5">
        <w:rPr>
          <w:rFonts w:ascii="Arial" w:eastAsia="Calibri" w:hAnsi="Arial" w:cs="Arial"/>
          <w:color w:val="000000" w:themeColor="text1"/>
        </w:rPr>
        <w:t>)</w:t>
      </w:r>
      <w:r w:rsidR="005620F5" w:rsidRPr="009F6DCF">
        <w:rPr>
          <w:rFonts w:ascii="Arial" w:eastAsia="Calibri" w:hAnsi="Arial" w:cs="Arial"/>
          <w:color w:val="000000" w:themeColor="text1"/>
        </w:rPr>
        <w:t xml:space="preserve"> grâce </w:t>
      </w:r>
      <w:r w:rsidR="005620F5">
        <w:rPr>
          <w:rFonts w:ascii="Arial" w:eastAsia="Calibri" w:hAnsi="Arial" w:cs="Arial"/>
          <w:color w:val="000000" w:themeColor="text1"/>
        </w:rPr>
        <w:t>à un</w:t>
      </w:r>
      <w:r w:rsidR="005620F5" w:rsidRPr="009F6DCF">
        <w:rPr>
          <w:rFonts w:ascii="Arial" w:eastAsia="Calibri" w:hAnsi="Arial" w:cs="Arial"/>
          <w:color w:val="000000" w:themeColor="text1"/>
        </w:rPr>
        <w:t xml:space="preserve"> positionnement favorable dans le cycle électoral municipal</w:t>
      </w:r>
      <w:r>
        <w:rPr>
          <w:rFonts w:ascii="Arial" w:eastAsia="Calibri" w:hAnsi="Arial" w:cs="Arial"/>
          <w:color w:val="000000" w:themeColor="text1"/>
        </w:rPr>
        <w:t xml:space="preserve">, </w:t>
      </w:r>
      <w:r w:rsidR="005620F5" w:rsidRPr="009F6DCF">
        <w:rPr>
          <w:rFonts w:ascii="Arial" w:eastAsia="Calibri" w:hAnsi="Arial" w:cs="Arial"/>
          <w:color w:val="000000" w:themeColor="text1"/>
        </w:rPr>
        <w:t xml:space="preserve">deux ans </w:t>
      </w:r>
      <w:r>
        <w:rPr>
          <w:rFonts w:ascii="Arial" w:eastAsia="Calibri" w:hAnsi="Arial" w:cs="Arial"/>
          <w:color w:val="000000" w:themeColor="text1"/>
        </w:rPr>
        <w:t>avant</w:t>
      </w:r>
      <w:r w:rsidR="005620F5">
        <w:rPr>
          <w:rFonts w:ascii="Arial" w:eastAsia="Calibri" w:hAnsi="Arial" w:cs="Arial"/>
          <w:color w:val="000000" w:themeColor="text1"/>
        </w:rPr>
        <w:t xml:space="preserve"> ces</w:t>
      </w:r>
      <w:r w:rsidR="005620F5" w:rsidRPr="009F6DCF">
        <w:rPr>
          <w:rFonts w:ascii="Arial" w:eastAsia="Calibri" w:hAnsi="Arial" w:cs="Arial"/>
          <w:color w:val="000000" w:themeColor="text1"/>
        </w:rPr>
        <w:t xml:space="preserve"> élections</w:t>
      </w:r>
      <w:r>
        <w:rPr>
          <w:rFonts w:ascii="Arial" w:eastAsia="Calibri" w:hAnsi="Arial" w:cs="Arial"/>
          <w:color w:val="000000" w:themeColor="text1"/>
        </w:rPr>
        <w:t>.</w:t>
      </w:r>
    </w:p>
    <w:p w14:paraId="7944C35A" w14:textId="504B924C" w:rsidR="005620F5" w:rsidRPr="00865C18" w:rsidRDefault="005620F5" w:rsidP="005620F5">
      <w:pPr>
        <w:spacing w:after="120" w:line="360" w:lineRule="auto"/>
        <w:jc w:val="both"/>
        <w:rPr>
          <w:rFonts w:ascii="Arial" w:eastAsia="Calibri" w:hAnsi="Arial" w:cs="Arial"/>
          <w:color w:val="000000" w:themeColor="text1"/>
        </w:rPr>
      </w:pPr>
      <w:r w:rsidRPr="009F6DCF">
        <w:rPr>
          <w:rFonts w:ascii="Arial" w:eastAsia="Calibri" w:hAnsi="Arial" w:cs="Arial"/>
          <w:color w:val="000000" w:themeColor="text1"/>
        </w:rPr>
        <w:t>Suivraient les hébergements hôteliers</w:t>
      </w:r>
      <w:r>
        <w:rPr>
          <w:rFonts w:ascii="Arial" w:eastAsia="Calibri" w:hAnsi="Arial" w:cs="Arial"/>
          <w:color w:val="000000" w:themeColor="text1"/>
        </w:rPr>
        <w:t>,</w:t>
      </w:r>
      <w:r w:rsidRPr="009F6DCF">
        <w:rPr>
          <w:rFonts w:ascii="Arial" w:eastAsia="Calibri" w:hAnsi="Arial" w:cs="Arial"/>
          <w:color w:val="000000" w:themeColor="text1"/>
        </w:rPr>
        <w:t xml:space="preserve"> dont les surfaces autorisées progresseraient de 6,7</w:t>
      </w:r>
      <w:r w:rsidR="00641F44">
        <w:rPr>
          <w:rFonts w:ascii="Arial" w:eastAsia="Calibri" w:hAnsi="Arial" w:cs="Arial"/>
          <w:color w:val="000000" w:themeColor="text1"/>
        </w:rPr>
        <w:t> </w:t>
      </w:r>
      <w:r w:rsidRPr="009F6DCF">
        <w:rPr>
          <w:rFonts w:ascii="Arial" w:eastAsia="Calibri" w:hAnsi="Arial" w:cs="Arial"/>
          <w:color w:val="000000" w:themeColor="text1"/>
        </w:rPr>
        <w:t xml:space="preserve">%. </w:t>
      </w:r>
      <w:r w:rsidR="00641F44">
        <w:rPr>
          <w:rFonts w:ascii="Arial" w:eastAsia="Calibri" w:hAnsi="Arial" w:cs="Arial"/>
          <w:color w:val="000000" w:themeColor="text1"/>
        </w:rPr>
        <w:t>Le reprise du tourisme l’explique, avec une fréquentation déjà 5 % supérieure à celle de 2019</w:t>
      </w:r>
      <w:r w:rsidR="005562C8">
        <w:rPr>
          <w:rFonts w:ascii="Arial" w:eastAsia="Calibri" w:hAnsi="Arial" w:cs="Arial"/>
          <w:color w:val="000000" w:themeColor="text1"/>
        </w:rPr>
        <w:t xml:space="preserve"> à l’été 2023</w:t>
      </w:r>
      <w:r w:rsidRPr="00865C18">
        <w:rPr>
          <w:rFonts w:ascii="Arial" w:eastAsia="Calibri" w:hAnsi="Arial" w:cs="Arial"/>
          <w:color w:val="000000" w:themeColor="text1"/>
        </w:rPr>
        <w:t xml:space="preserve">. </w:t>
      </w:r>
      <w:r w:rsidR="005562C8">
        <w:rPr>
          <w:rFonts w:ascii="Arial" w:eastAsia="Calibri" w:hAnsi="Arial" w:cs="Arial"/>
          <w:color w:val="000000" w:themeColor="text1"/>
        </w:rPr>
        <w:t>Les</w:t>
      </w:r>
      <w:r w:rsidRPr="00865C18">
        <w:rPr>
          <w:rFonts w:ascii="Arial" w:eastAsia="Calibri" w:hAnsi="Arial" w:cs="Arial"/>
          <w:color w:val="000000" w:themeColor="text1"/>
        </w:rPr>
        <w:t xml:space="preserve"> Jeux olympiques </w:t>
      </w:r>
      <w:r w:rsidR="005562C8">
        <w:rPr>
          <w:rFonts w:ascii="Arial" w:eastAsia="Calibri" w:hAnsi="Arial" w:cs="Arial"/>
          <w:color w:val="000000" w:themeColor="text1"/>
        </w:rPr>
        <w:t>de</w:t>
      </w:r>
      <w:r w:rsidRPr="00865C18">
        <w:rPr>
          <w:rFonts w:ascii="Arial" w:eastAsia="Calibri" w:hAnsi="Arial" w:cs="Arial"/>
          <w:color w:val="000000" w:themeColor="text1"/>
        </w:rPr>
        <w:t xml:space="preserve"> Paris en 2024</w:t>
      </w:r>
      <w:r w:rsidR="005562C8">
        <w:rPr>
          <w:rFonts w:ascii="Arial" w:eastAsia="Calibri" w:hAnsi="Arial" w:cs="Arial"/>
          <w:color w:val="000000" w:themeColor="text1"/>
        </w:rPr>
        <w:t xml:space="preserve"> conduisent à prolonger le mouvement</w:t>
      </w:r>
      <w:r w:rsidRPr="00865C18">
        <w:rPr>
          <w:rFonts w:ascii="Arial" w:eastAsia="Calibri" w:hAnsi="Arial" w:cs="Arial"/>
          <w:color w:val="000000" w:themeColor="text1"/>
        </w:rPr>
        <w:t xml:space="preserve">. </w:t>
      </w:r>
    </w:p>
    <w:p w14:paraId="5E073CE5" w14:textId="08F865DB" w:rsidR="005620F5" w:rsidRDefault="005620F5" w:rsidP="005620F5">
      <w:pPr>
        <w:spacing w:after="120" w:line="360" w:lineRule="auto"/>
        <w:jc w:val="both"/>
        <w:rPr>
          <w:rFonts w:ascii="Arial" w:eastAsia="Calibri" w:hAnsi="Arial" w:cs="Arial"/>
        </w:rPr>
      </w:pPr>
      <w:r w:rsidRPr="00865C18">
        <w:rPr>
          <w:rFonts w:ascii="Arial" w:eastAsia="Calibri" w:hAnsi="Arial" w:cs="Arial"/>
        </w:rPr>
        <w:t xml:space="preserve">Les bâtiments industriels et assimilés ressortiraient comme le dernier segment </w:t>
      </w:r>
      <w:r w:rsidR="005562C8">
        <w:rPr>
          <w:rFonts w:ascii="Arial" w:eastAsia="Calibri" w:hAnsi="Arial" w:cs="Arial"/>
        </w:rPr>
        <w:t>en hausse</w:t>
      </w:r>
      <w:r w:rsidRPr="00865C18">
        <w:rPr>
          <w:rFonts w:ascii="Arial" w:eastAsia="Calibri" w:hAnsi="Arial" w:cs="Arial"/>
        </w:rPr>
        <w:t xml:space="preserve">, à +6,5 %. S’agissant des bâtiments industriels purs, leurs surfaces autorisées progresseraient dans un contexte de réindustrialisation du pays. </w:t>
      </w:r>
      <w:r w:rsidR="005562C8">
        <w:rPr>
          <w:rFonts w:ascii="Arial" w:eastAsia="Calibri" w:hAnsi="Arial" w:cs="Arial"/>
        </w:rPr>
        <w:t>Quant aux</w:t>
      </w:r>
      <w:r w:rsidRPr="00865C18">
        <w:rPr>
          <w:rFonts w:ascii="Arial" w:eastAsia="Calibri" w:hAnsi="Arial" w:cs="Arial"/>
        </w:rPr>
        <w:t xml:space="preserve"> locaux logistiques</w:t>
      </w:r>
      <w:r w:rsidR="005562C8">
        <w:rPr>
          <w:rFonts w:ascii="Arial" w:eastAsia="Calibri" w:hAnsi="Arial" w:cs="Arial"/>
        </w:rPr>
        <w:t>, ils</w:t>
      </w:r>
      <w:r w:rsidRPr="00865C18">
        <w:rPr>
          <w:rFonts w:ascii="Arial" w:eastAsia="Calibri" w:hAnsi="Arial" w:cs="Arial"/>
        </w:rPr>
        <w:t xml:space="preserve"> </w:t>
      </w:r>
      <w:r w:rsidR="005562C8">
        <w:rPr>
          <w:rFonts w:ascii="Arial" w:eastAsia="Calibri" w:hAnsi="Arial" w:cs="Arial"/>
        </w:rPr>
        <w:t xml:space="preserve">retrouveraient de l’air après un mouvement de réajustement à la baisse de leurs prix intervenu </w:t>
      </w:r>
      <w:r w:rsidRPr="00865C18">
        <w:rPr>
          <w:rFonts w:ascii="Arial" w:eastAsia="Calibri" w:hAnsi="Arial" w:cs="Arial"/>
        </w:rPr>
        <w:t xml:space="preserve">en 2023, </w:t>
      </w:r>
      <w:r w:rsidR="005562C8">
        <w:rPr>
          <w:rFonts w:ascii="Arial" w:eastAsia="Calibri" w:hAnsi="Arial" w:cs="Arial"/>
        </w:rPr>
        <w:t>alors que la</w:t>
      </w:r>
      <w:r w:rsidRPr="00865C18">
        <w:rPr>
          <w:rFonts w:ascii="Arial" w:eastAsia="Calibri" w:hAnsi="Arial" w:cs="Arial"/>
        </w:rPr>
        <w:t xml:space="preserve"> croissance </w:t>
      </w:r>
      <w:r w:rsidR="005562C8">
        <w:rPr>
          <w:rFonts w:ascii="Arial" w:eastAsia="Calibri" w:hAnsi="Arial" w:cs="Arial"/>
        </w:rPr>
        <w:t>de l’</w:t>
      </w:r>
      <w:r w:rsidR="00BC4413">
        <w:rPr>
          <w:rFonts w:ascii="Arial" w:eastAsia="Calibri" w:hAnsi="Arial" w:cs="Arial"/>
        </w:rPr>
        <w:t>e</w:t>
      </w:r>
      <w:r w:rsidRPr="00865C18">
        <w:rPr>
          <w:rFonts w:ascii="Arial" w:eastAsia="Calibri" w:hAnsi="Arial" w:cs="Arial"/>
        </w:rPr>
        <w:t xml:space="preserve">-commerce </w:t>
      </w:r>
      <w:r w:rsidR="005562C8">
        <w:rPr>
          <w:rFonts w:ascii="Arial" w:eastAsia="Calibri" w:hAnsi="Arial" w:cs="Arial"/>
        </w:rPr>
        <w:t>ne se dément pas (</w:t>
      </w:r>
      <w:r w:rsidRPr="00865C18">
        <w:rPr>
          <w:rFonts w:ascii="Arial" w:eastAsia="Calibri" w:hAnsi="Arial" w:cs="Arial"/>
        </w:rPr>
        <w:t xml:space="preserve">environ </w:t>
      </w:r>
      <w:r w:rsidR="005562C8">
        <w:rPr>
          <w:rFonts w:ascii="Arial" w:eastAsia="Calibri" w:hAnsi="Arial" w:cs="Arial"/>
        </w:rPr>
        <w:t>+</w:t>
      </w:r>
      <w:r w:rsidRPr="00865C18">
        <w:rPr>
          <w:rFonts w:ascii="Arial" w:eastAsia="Calibri" w:hAnsi="Arial" w:cs="Arial"/>
        </w:rPr>
        <w:t>1</w:t>
      </w:r>
      <w:r w:rsidR="00232018">
        <w:rPr>
          <w:rFonts w:ascii="Arial" w:eastAsia="Calibri" w:hAnsi="Arial" w:cs="Arial"/>
        </w:rPr>
        <w:t>5</w:t>
      </w:r>
      <w:r w:rsidR="005562C8">
        <w:rPr>
          <w:rFonts w:ascii="Arial" w:eastAsia="Calibri" w:hAnsi="Arial" w:cs="Arial"/>
        </w:rPr>
        <w:t> </w:t>
      </w:r>
      <w:r w:rsidRPr="00865C18">
        <w:rPr>
          <w:rFonts w:ascii="Arial" w:eastAsia="Calibri" w:hAnsi="Arial" w:cs="Arial"/>
        </w:rPr>
        <w:t xml:space="preserve">% en glissement annuel sur les </w:t>
      </w:r>
      <w:r w:rsidR="00232018">
        <w:rPr>
          <w:rFonts w:ascii="Arial" w:eastAsia="Calibri" w:hAnsi="Arial" w:cs="Arial"/>
        </w:rPr>
        <w:t>deux</w:t>
      </w:r>
      <w:r w:rsidRPr="00865C18">
        <w:rPr>
          <w:rFonts w:ascii="Arial" w:eastAsia="Calibri" w:hAnsi="Arial" w:cs="Arial"/>
        </w:rPr>
        <w:t xml:space="preserve"> premiers trimestres 2023 d’après la Fédération du </w:t>
      </w:r>
      <w:r w:rsidR="00232018">
        <w:rPr>
          <w:rFonts w:ascii="Arial" w:eastAsia="Calibri" w:hAnsi="Arial" w:cs="Arial"/>
        </w:rPr>
        <w:t>e</w:t>
      </w:r>
      <w:r w:rsidRPr="00865C18">
        <w:rPr>
          <w:rFonts w:ascii="Arial" w:eastAsia="Calibri" w:hAnsi="Arial" w:cs="Arial"/>
        </w:rPr>
        <w:t>-commerce et de la vente à distance–</w:t>
      </w:r>
      <w:proofErr w:type="spellStart"/>
      <w:r w:rsidRPr="00865C18">
        <w:rPr>
          <w:rFonts w:ascii="Arial" w:eastAsia="Calibri" w:hAnsi="Arial" w:cs="Arial"/>
        </w:rPr>
        <w:t>Fevad</w:t>
      </w:r>
      <w:proofErr w:type="spellEnd"/>
      <w:r w:rsidR="005562C8">
        <w:rPr>
          <w:rFonts w:ascii="Arial" w:eastAsia="Calibri" w:hAnsi="Arial" w:cs="Arial"/>
        </w:rPr>
        <w:t>)</w:t>
      </w:r>
      <w:r w:rsidRPr="008125DF">
        <w:rPr>
          <w:rFonts w:ascii="Arial" w:eastAsia="Calibri" w:hAnsi="Arial" w:cs="Arial"/>
        </w:rPr>
        <w:t>.</w:t>
      </w:r>
    </w:p>
    <w:p w14:paraId="56B7F7EE" w14:textId="71583A67" w:rsidR="005620F5" w:rsidRPr="005562C8" w:rsidRDefault="005620F5" w:rsidP="005620F5">
      <w:pPr>
        <w:spacing w:after="120" w:line="360" w:lineRule="auto"/>
        <w:jc w:val="both"/>
        <w:rPr>
          <w:rFonts w:ascii="Arial" w:hAnsi="Arial" w:cs="Arial"/>
          <w:kern w:val="2"/>
        </w:rPr>
      </w:pPr>
      <w:r>
        <w:rPr>
          <w:rFonts w:ascii="Arial" w:eastAsia="Calibri" w:hAnsi="Arial" w:cs="Arial"/>
          <w:color w:val="000000" w:themeColor="text1"/>
        </w:rPr>
        <w:t>En revanche</w:t>
      </w:r>
      <w:r w:rsidRPr="009F6DCF">
        <w:rPr>
          <w:rFonts w:ascii="Arial" w:eastAsia="Calibri" w:hAnsi="Arial" w:cs="Arial"/>
          <w:color w:val="000000" w:themeColor="text1"/>
        </w:rPr>
        <w:t xml:space="preserve">, les </w:t>
      </w:r>
      <w:r w:rsidR="005562C8">
        <w:rPr>
          <w:rFonts w:ascii="Arial" w:eastAsia="Calibri" w:hAnsi="Arial" w:cs="Arial"/>
          <w:color w:val="000000" w:themeColor="text1"/>
        </w:rPr>
        <w:t xml:space="preserve">locaux </w:t>
      </w:r>
      <w:r w:rsidRPr="009F6DCF">
        <w:rPr>
          <w:rFonts w:ascii="Arial" w:eastAsia="Calibri" w:hAnsi="Arial" w:cs="Arial"/>
          <w:color w:val="000000" w:themeColor="text1"/>
        </w:rPr>
        <w:t>commerc</w:t>
      </w:r>
      <w:r w:rsidR="005562C8">
        <w:rPr>
          <w:rFonts w:ascii="Arial" w:eastAsia="Calibri" w:hAnsi="Arial" w:cs="Arial"/>
          <w:color w:val="000000" w:themeColor="text1"/>
        </w:rPr>
        <w:t>iaux</w:t>
      </w:r>
      <w:r w:rsidRPr="009F6DCF">
        <w:rPr>
          <w:rFonts w:ascii="Arial" w:eastAsia="Calibri" w:hAnsi="Arial" w:cs="Arial"/>
          <w:color w:val="000000" w:themeColor="text1"/>
        </w:rPr>
        <w:t xml:space="preserve"> </w:t>
      </w:r>
      <w:r>
        <w:rPr>
          <w:rFonts w:ascii="Arial" w:eastAsia="Calibri" w:hAnsi="Arial" w:cs="Arial"/>
          <w:color w:val="000000" w:themeColor="text1"/>
        </w:rPr>
        <w:t>abandonneraient</w:t>
      </w:r>
      <w:r w:rsidRPr="009F6DCF">
        <w:rPr>
          <w:rFonts w:ascii="Arial" w:eastAsia="Calibri" w:hAnsi="Arial" w:cs="Arial"/>
          <w:color w:val="000000" w:themeColor="text1"/>
        </w:rPr>
        <w:t xml:space="preserve"> </w:t>
      </w:r>
      <w:r>
        <w:rPr>
          <w:rFonts w:ascii="Arial" w:eastAsia="Calibri" w:hAnsi="Arial" w:cs="Arial"/>
          <w:color w:val="000000" w:themeColor="text1"/>
        </w:rPr>
        <w:t xml:space="preserve">encore </w:t>
      </w:r>
      <w:r w:rsidRPr="009F6DCF">
        <w:rPr>
          <w:rFonts w:ascii="Arial" w:eastAsia="Calibri" w:hAnsi="Arial" w:cs="Arial"/>
          <w:color w:val="000000" w:themeColor="text1"/>
        </w:rPr>
        <w:t>5,9</w:t>
      </w:r>
      <w:r w:rsidR="005562C8">
        <w:rPr>
          <w:rFonts w:ascii="Arial" w:eastAsia="Calibri" w:hAnsi="Arial" w:cs="Arial"/>
          <w:color w:val="000000" w:themeColor="text1"/>
        </w:rPr>
        <w:t> </w:t>
      </w:r>
      <w:r w:rsidRPr="009F6DCF">
        <w:rPr>
          <w:rFonts w:ascii="Arial" w:eastAsia="Calibri" w:hAnsi="Arial" w:cs="Arial"/>
          <w:color w:val="000000" w:themeColor="text1"/>
        </w:rPr>
        <w:t>%</w:t>
      </w:r>
      <w:r>
        <w:rPr>
          <w:rFonts w:ascii="Arial" w:eastAsia="Calibri" w:hAnsi="Arial" w:cs="Arial"/>
          <w:color w:val="000000" w:themeColor="text1"/>
        </w:rPr>
        <w:t xml:space="preserve"> </w:t>
      </w:r>
      <w:r w:rsidR="005562C8">
        <w:rPr>
          <w:rFonts w:ascii="Arial" w:eastAsia="Calibri" w:hAnsi="Arial" w:cs="Arial"/>
          <w:color w:val="000000" w:themeColor="text1"/>
        </w:rPr>
        <w:t xml:space="preserve">en termes </w:t>
      </w:r>
      <w:r>
        <w:rPr>
          <w:rFonts w:ascii="Arial" w:eastAsia="Calibri" w:hAnsi="Arial" w:cs="Arial"/>
          <w:color w:val="000000" w:themeColor="text1"/>
        </w:rPr>
        <w:t>de surfaces autorisées, après -9,5 % en 2023. De fait, les investissements consentis sur ce segment chutent lourdement sur les neuf premiers mois de 2023, à -54 % en glissement annuel. Toutefois, un ralentissement de la baisse devrait se dessiner, compte tenu d’</w:t>
      </w:r>
      <w:r w:rsidRPr="009F6DCF">
        <w:rPr>
          <w:rFonts w:ascii="Arial" w:eastAsia="Calibri" w:hAnsi="Arial" w:cs="Arial"/>
          <w:color w:val="000000" w:themeColor="text1"/>
        </w:rPr>
        <w:t xml:space="preserve">une </w:t>
      </w:r>
      <w:r>
        <w:rPr>
          <w:rFonts w:ascii="Arial" w:eastAsia="Calibri" w:hAnsi="Arial" w:cs="Arial"/>
          <w:color w:val="000000" w:themeColor="text1"/>
        </w:rPr>
        <w:t>petite</w:t>
      </w:r>
      <w:r w:rsidRPr="009F6DCF">
        <w:rPr>
          <w:rFonts w:ascii="Arial" w:eastAsia="Calibri" w:hAnsi="Arial" w:cs="Arial"/>
          <w:color w:val="000000" w:themeColor="text1"/>
        </w:rPr>
        <w:t xml:space="preserve"> hausse </w:t>
      </w:r>
      <w:r>
        <w:rPr>
          <w:rFonts w:ascii="Arial" w:eastAsia="Calibri" w:hAnsi="Arial" w:cs="Arial"/>
          <w:color w:val="000000" w:themeColor="text1"/>
        </w:rPr>
        <w:t xml:space="preserve">prévue </w:t>
      </w:r>
      <w:r w:rsidRPr="009F6DCF">
        <w:rPr>
          <w:rFonts w:ascii="Arial" w:eastAsia="Calibri" w:hAnsi="Arial" w:cs="Arial"/>
          <w:color w:val="000000" w:themeColor="text1"/>
        </w:rPr>
        <w:t>d</w:t>
      </w:r>
      <w:r w:rsidRPr="009F6DCF">
        <w:rPr>
          <w:rFonts w:ascii="Arial" w:hAnsi="Arial" w:cs="Arial"/>
          <w:kern w:val="2"/>
        </w:rPr>
        <w:t>es dépenses de consommation des ménages</w:t>
      </w:r>
      <w:r w:rsidR="005562C8">
        <w:rPr>
          <w:rFonts w:ascii="Arial" w:hAnsi="Arial" w:cs="Arial"/>
          <w:kern w:val="2"/>
        </w:rPr>
        <w:t xml:space="preserve"> comme vu plus haut</w:t>
      </w:r>
      <w:r w:rsidRPr="009F6DCF">
        <w:rPr>
          <w:rFonts w:ascii="Arial" w:hAnsi="Arial" w:cs="Arial"/>
          <w:kern w:val="2"/>
        </w:rPr>
        <w:t>.</w:t>
      </w:r>
    </w:p>
    <w:p w14:paraId="6AAF3E06" w14:textId="08E24754" w:rsidR="005620F5" w:rsidRPr="009F6DCF"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Enfin, l</w:t>
      </w:r>
      <w:r w:rsidRPr="009F6DCF">
        <w:rPr>
          <w:rFonts w:ascii="Arial" w:eastAsia="Calibri" w:hAnsi="Arial" w:cs="Arial"/>
          <w:color w:val="000000" w:themeColor="text1"/>
        </w:rPr>
        <w:t xml:space="preserve">es </w:t>
      </w:r>
      <w:r w:rsidR="005562C8">
        <w:rPr>
          <w:rFonts w:ascii="Arial" w:eastAsia="Calibri" w:hAnsi="Arial" w:cs="Arial"/>
          <w:color w:val="000000" w:themeColor="text1"/>
        </w:rPr>
        <w:t xml:space="preserve">surfaces autorisées de </w:t>
      </w:r>
      <w:r w:rsidRPr="009F6DCF">
        <w:rPr>
          <w:rFonts w:ascii="Arial" w:eastAsia="Calibri" w:hAnsi="Arial" w:cs="Arial"/>
          <w:color w:val="000000" w:themeColor="text1"/>
        </w:rPr>
        <w:t xml:space="preserve">bureaux </w:t>
      </w:r>
      <w:r w:rsidR="005562C8">
        <w:rPr>
          <w:rFonts w:ascii="Arial" w:eastAsia="Calibri" w:hAnsi="Arial" w:cs="Arial"/>
          <w:color w:val="000000" w:themeColor="text1"/>
        </w:rPr>
        <w:t>plongeraient</w:t>
      </w:r>
      <w:r w:rsidRPr="009F6DCF">
        <w:rPr>
          <w:rFonts w:ascii="Arial" w:eastAsia="Calibri" w:hAnsi="Arial" w:cs="Arial"/>
          <w:color w:val="000000" w:themeColor="text1"/>
        </w:rPr>
        <w:t xml:space="preserve"> </w:t>
      </w:r>
      <w:r>
        <w:rPr>
          <w:rFonts w:ascii="Arial" w:eastAsia="Calibri" w:hAnsi="Arial" w:cs="Arial"/>
          <w:color w:val="000000" w:themeColor="text1"/>
        </w:rPr>
        <w:t>de 13,4 %</w:t>
      </w:r>
      <w:r w:rsidRPr="009F6DCF">
        <w:rPr>
          <w:rFonts w:ascii="Arial" w:eastAsia="Calibri" w:hAnsi="Arial" w:cs="Arial"/>
          <w:color w:val="000000" w:themeColor="text1"/>
        </w:rPr>
        <w:t xml:space="preserve">. </w:t>
      </w:r>
      <w:r w:rsidR="005562C8">
        <w:rPr>
          <w:rFonts w:ascii="Arial" w:eastAsia="Calibri" w:hAnsi="Arial" w:cs="Arial"/>
          <w:color w:val="000000" w:themeColor="text1"/>
        </w:rPr>
        <w:t xml:space="preserve">De fait, </w:t>
      </w:r>
      <w:r>
        <w:rPr>
          <w:rFonts w:ascii="Arial" w:eastAsia="Calibri" w:hAnsi="Arial" w:cs="Arial"/>
          <w:color w:val="000000" w:themeColor="text1"/>
        </w:rPr>
        <w:t>le</w:t>
      </w:r>
      <w:r w:rsidRPr="009F6DCF">
        <w:rPr>
          <w:rFonts w:ascii="Arial" w:eastAsia="Calibri" w:hAnsi="Arial" w:cs="Arial"/>
          <w:color w:val="000000" w:themeColor="text1"/>
        </w:rPr>
        <w:t xml:space="preserve"> télétravail</w:t>
      </w:r>
      <w:r w:rsidR="005562C8">
        <w:rPr>
          <w:rFonts w:ascii="Arial" w:eastAsia="Calibri" w:hAnsi="Arial" w:cs="Arial"/>
          <w:color w:val="000000" w:themeColor="text1"/>
        </w:rPr>
        <w:t xml:space="preserve"> toujours très présent</w:t>
      </w:r>
      <w:r w:rsidRPr="009F6DCF">
        <w:rPr>
          <w:rFonts w:ascii="Arial" w:eastAsia="Calibri" w:hAnsi="Arial" w:cs="Arial"/>
          <w:color w:val="000000" w:themeColor="text1"/>
        </w:rPr>
        <w:t xml:space="preserve">, la baisse de la population active, le recul des transactions </w:t>
      </w:r>
      <w:r>
        <w:rPr>
          <w:rFonts w:ascii="Arial" w:eastAsia="Calibri" w:hAnsi="Arial" w:cs="Arial"/>
          <w:color w:val="000000" w:themeColor="text1"/>
        </w:rPr>
        <w:t xml:space="preserve">de bureaux </w:t>
      </w:r>
      <w:r w:rsidRPr="009F6DCF">
        <w:rPr>
          <w:rFonts w:ascii="Arial" w:eastAsia="Calibri" w:hAnsi="Arial" w:cs="Arial"/>
          <w:color w:val="000000" w:themeColor="text1"/>
        </w:rPr>
        <w:t>d’environ 10</w:t>
      </w:r>
      <w:r w:rsidR="005562C8">
        <w:rPr>
          <w:rFonts w:ascii="Arial" w:eastAsia="Calibri" w:hAnsi="Arial" w:cs="Arial"/>
          <w:color w:val="000000" w:themeColor="text1"/>
        </w:rPr>
        <w:t> </w:t>
      </w:r>
      <w:r w:rsidRPr="009F6DCF">
        <w:rPr>
          <w:rFonts w:ascii="Arial" w:eastAsia="Calibri" w:hAnsi="Arial" w:cs="Arial"/>
          <w:color w:val="000000" w:themeColor="text1"/>
        </w:rPr>
        <w:t xml:space="preserve">% </w:t>
      </w:r>
      <w:r>
        <w:rPr>
          <w:rFonts w:ascii="Arial" w:eastAsia="Calibri" w:hAnsi="Arial" w:cs="Arial"/>
          <w:color w:val="000000" w:themeColor="text1"/>
        </w:rPr>
        <w:t xml:space="preserve">en Île-de-France </w:t>
      </w:r>
      <w:r w:rsidRPr="009F6DCF">
        <w:rPr>
          <w:rFonts w:ascii="Arial" w:eastAsia="Calibri" w:hAnsi="Arial" w:cs="Arial"/>
          <w:color w:val="000000" w:themeColor="text1"/>
        </w:rPr>
        <w:t xml:space="preserve">en 2023 et une offre </w:t>
      </w:r>
      <w:r w:rsidR="005562C8">
        <w:rPr>
          <w:rFonts w:ascii="Arial" w:eastAsia="Calibri" w:hAnsi="Arial" w:cs="Arial"/>
          <w:color w:val="000000" w:themeColor="text1"/>
        </w:rPr>
        <w:t xml:space="preserve">disponible </w:t>
      </w:r>
      <w:r w:rsidRPr="009F6DCF">
        <w:rPr>
          <w:rFonts w:ascii="Arial" w:eastAsia="Calibri" w:hAnsi="Arial" w:cs="Arial"/>
          <w:color w:val="000000" w:themeColor="text1"/>
        </w:rPr>
        <w:t>à niveau excessivement élevé</w:t>
      </w:r>
      <w:r w:rsidR="005562C8">
        <w:rPr>
          <w:rFonts w:ascii="Arial" w:eastAsia="Calibri" w:hAnsi="Arial" w:cs="Arial"/>
          <w:color w:val="000000" w:themeColor="text1"/>
        </w:rPr>
        <w:t xml:space="preserve"> n’encouragent pas au lancement de nouveaux projets</w:t>
      </w:r>
      <w:r w:rsidRPr="009F6DCF">
        <w:rPr>
          <w:rFonts w:ascii="Arial" w:eastAsia="Calibri" w:hAnsi="Arial" w:cs="Arial"/>
          <w:color w:val="000000" w:themeColor="text1"/>
        </w:rPr>
        <w:t xml:space="preserve">. </w:t>
      </w:r>
      <w:r>
        <w:rPr>
          <w:rFonts w:ascii="Arial" w:eastAsia="Calibri" w:hAnsi="Arial" w:cs="Arial"/>
          <w:color w:val="000000" w:themeColor="text1"/>
        </w:rPr>
        <w:t xml:space="preserve">D’ailleurs, </w:t>
      </w:r>
      <w:r w:rsidRPr="009F6DCF">
        <w:rPr>
          <w:rFonts w:ascii="Arial" w:eastAsia="Calibri" w:hAnsi="Arial" w:cs="Arial"/>
          <w:color w:val="000000" w:themeColor="text1"/>
        </w:rPr>
        <w:t xml:space="preserve">les chiffres de BNP Paribas Real </w:t>
      </w:r>
      <w:proofErr w:type="spellStart"/>
      <w:r w:rsidRPr="009F6DCF">
        <w:rPr>
          <w:rFonts w:ascii="Arial" w:eastAsia="Calibri" w:hAnsi="Arial" w:cs="Arial"/>
          <w:color w:val="000000" w:themeColor="text1"/>
        </w:rPr>
        <w:t>Estate</w:t>
      </w:r>
      <w:proofErr w:type="spellEnd"/>
      <w:r w:rsidR="002A612B">
        <w:rPr>
          <w:rFonts w:ascii="Arial" w:eastAsia="Calibri" w:hAnsi="Arial" w:cs="Arial"/>
          <w:color w:val="000000" w:themeColor="text1"/>
        </w:rPr>
        <w:t xml:space="preserve"> montrent que</w:t>
      </w:r>
      <w:r w:rsidRPr="009F6DCF">
        <w:rPr>
          <w:rFonts w:ascii="Arial" w:eastAsia="Calibri" w:hAnsi="Arial" w:cs="Arial"/>
          <w:color w:val="000000" w:themeColor="text1"/>
        </w:rPr>
        <w:t xml:space="preserve"> l’investissement en Île-de-France a chuté de 54</w:t>
      </w:r>
      <w:r w:rsidR="002A612B">
        <w:rPr>
          <w:rFonts w:ascii="Arial" w:eastAsia="Calibri" w:hAnsi="Arial" w:cs="Arial"/>
          <w:color w:val="000000" w:themeColor="text1"/>
        </w:rPr>
        <w:t> </w:t>
      </w:r>
      <w:r w:rsidRPr="009F6DCF">
        <w:rPr>
          <w:rFonts w:ascii="Arial" w:eastAsia="Calibri" w:hAnsi="Arial" w:cs="Arial"/>
          <w:color w:val="000000" w:themeColor="text1"/>
        </w:rPr>
        <w:t xml:space="preserve">% au cours des neufs premiers mois </w:t>
      </w:r>
      <w:r>
        <w:rPr>
          <w:rFonts w:ascii="Arial" w:eastAsia="Calibri" w:hAnsi="Arial" w:cs="Arial"/>
          <w:color w:val="000000" w:themeColor="text1"/>
        </w:rPr>
        <w:t xml:space="preserve">de </w:t>
      </w:r>
      <w:r w:rsidRPr="009F6DCF">
        <w:rPr>
          <w:rFonts w:ascii="Arial" w:eastAsia="Calibri" w:hAnsi="Arial" w:cs="Arial"/>
          <w:color w:val="000000" w:themeColor="text1"/>
        </w:rPr>
        <w:t xml:space="preserve">2023 par rapport aux mêmes mois </w:t>
      </w:r>
      <w:r>
        <w:rPr>
          <w:rFonts w:ascii="Arial" w:eastAsia="Calibri" w:hAnsi="Arial" w:cs="Arial"/>
          <w:color w:val="000000" w:themeColor="text1"/>
        </w:rPr>
        <w:t xml:space="preserve">de </w:t>
      </w:r>
      <w:r w:rsidRPr="009F6DCF">
        <w:rPr>
          <w:rFonts w:ascii="Arial" w:eastAsia="Calibri" w:hAnsi="Arial" w:cs="Arial"/>
          <w:color w:val="000000" w:themeColor="text1"/>
        </w:rPr>
        <w:t>2022</w:t>
      </w:r>
      <w:r>
        <w:rPr>
          <w:rFonts w:ascii="Arial" w:eastAsia="Calibri" w:hAnsi="Arial" w:cs="Arial"/>
          <w:color w:val="000000" w:themeColor="text1"/>
        </w:rPr>
        <w:t xml:space="preserve"> et l’o</w:t>
      </w:r>
      <w:r w:rsidRPr="009F6DCF">
        <w:rPr>
          <w:rFonts w:ascii="Arial" w:eastAsia="Calibri" w:hAnsi="Arial" w:cs="Arial"/>
          <w:color w:val="000000" w:themeColor="text1"/>
        </w:rPr>
        <w:t>n constate également une forte baisse en province</w:t>
      </w:r>
      <w:r w:rsidR="002A612B">
        <w:rPr>
          <w:rFonts w:ascii="Arial" w:eastAsia="Calibri" w:hAnsi="Arial" w:cs="Arial"/>
          <w:color w:val="000000" w:themeColor="text1"/>
        </w:rPr>
        <w:t>,</w:t>
      </w:r>
      <w:r>
        <w:rPr>
          <w:rFonts w:ascii="Arial" w:eastAsia="Calibri" w:hAnsi="Arial" w:cs="Arial"/>
          <w:color w:val="000000" w:themeColor="text1"/>
        </w:rPr>
        <w:t xml:space="preserve"> de</w:t>
      </w:r>
      <w:r w:rsidR="00327DC2">
        <w:rPr>
          <w:rFonts w:ascii="Arial" w:eastAsia="Calibri" w:hAnsi="Arial" w:cs="Arial"/>
          <w:color w:val="000000" w:themeColor="text1"/>
        </w:rPr>
        <w:t xml:space="preserve"> </w:t>
      </w:r>
      <w:r>
        <w:rPr>
          <w:rFonts w:ascii="Arial" w:eastAsia="Calibri" w:hAnsi="Arial" w:cs="Arial"/>
          <w:color w:val="000000" w:themeColor="text1"/>
        </w:rPr>
        <w:t>31 % entre les premiers semestres 2022 et 2023</w:t>
      </w:r>
      <w:r w:rsidRPr="009F6DCF">
        <w:rPr>
          <w:rFonts w:ascii="Arial" w:eastAsia="Calibri" w:hAnsi="Arial" w:cs="Arial"/>
          <w:color w:val="000000" w:themeColor="text1"/>
        </w:rPr>
        <w:t>.</w:t>
      </w:r>
    </w:p>
    <w:p w14:paraId="5FEB60D7" w14:textId="001DE81F" w:rsidR="005620F5" w:rsidRDefault="00681FDF"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Quant aux</w:t>
      </w:r>
      <w:r w:rsidR="005620F5" w:rsidRPr="009F6DCF">
        <w:rPr>
          <w:rFonts w:ascii="Arial" w:eastAsia="Calibri" w:hAnsi="Arial" w:cs="Arial"/>
          <w:color w:val="000000" w:themeColor="text1"/>
        </w:rPr>
        <w:t xml:space="preserve"> surfaces mises en chantier</w:t>
      </w:r>
      <w:r>
        <w:rPr>
          <w:rFonts w:ascii="Arial" w:eastAsia="Calibri" w:hAnsi="Arial" w:cs="Arial"/>
          <w:color w:val="000000" w:themeColor="text1"/>
        </w:rPr>
        <w:t>,</w:t>
      </w:r>
      <w:r w:rsidR="005620F5" w:rsidRPr="009F6DCF">
        <w:rPr>
          <w:rFonts w:ascii="Arial" w:eastAsia="Calibri" w:hAnsi="Arial" w:cs="Arial"/>
          <w:color w:val="000000" w:themeColor="text1"/>
        </w:rPr>
        <w:t xml:space="preserve"> </w:t>
      </w:r>
      <w:r>
        <w:rPr>
          <w:rFonts w:ascii="Arial" w:eastAsia="Calibri" w:hAnsi="Arial" w:cs="Arial"/>
          <w:color w:val="000000" w:themeColor="text1"/>
        </w:rPr>
        <w:t>elles s’éroderaient de 1,1 % en 2024 pour</w:t>
      </w:r>
      <w:r w:rsidR="005620F5" w:rsidRPr="009F6DCF">
        <w:rPr>
          <w:rFonts w:ascii="Arial" w:eastAsia="Calibri" w:hAnsi="Arial" w:cs="Arial"/>
          <w:color w:val="000000" w:themeColor="text1"/>
        </w:rPr>
        <w:t xml:space="preserve"> l’ensemble des bâtiments non résidentiels</w:t>
      </w:r>
      <w:r>
        <w:rPr>
          <w:rFonts w:ascii="Arial" w:eastAsia="Calibri" w:hAnsi="Arial" w:cs="Arial"/>
          <w:color w:val="000000" w:themeColor="text1"/>
        </w:rPr>
        <w:t xml:space="preserve">. Avec </w:t>
      </w:r>
      <w:r w:rsidR="005620F5" w:rsidRPr="009F6DCF">
        <w:rPr>
          <w:rFonts w:ascii="Arial" w:eastAsia="Calibri" w:hAnsi="Arial" w:cs="Arial"/>
          <w:color w:val="000000" w:themeColor="text1"/>
        </w:rPr>
        <w:t>22</w:t>
      </w:r>
      <w:r w:rsidR="005620F5">
        <w:rPr>
          <w:rFonts w:ascii="Arial" w:eastAsia="Calibri" w:hAnsi="Arial" w:cs="Arial"/>
          <w:color w:val="000000" w:themeColor="text1"/>
        </w:rPr>
        <w:t>,5</w:t>
      </w:r>
      <w:r w:rsidR="005620F5" w:rsidRPr="009F6DCF">
        <w:rPr>
          <w:rFonts w:ascii="Arial" w:eastAsia="Calibri" w:hAnsi="Arial" w:cs="Arial"/>
          <w:color w:val="000000" w:themeColor="text1"/>
        </w:rPr>
        <w:t xml:space="preserve"> millions de m², </w:t>
      </w:r>
      <w:r>
        <w:rPr>
          <w:rFonts w:ascii="Arial" w:eastAsia="Calibri" w:hAnsi="Arial" w:cs="Arial"/>
          <w:color w:val="000000" w:themeColor="text1"/>
        </w:rPr>
        <w:t xml:space="preserve">elles s’établiraient </w:t>
      </w:r>
      <w:r w:rsidR="005620F5" w:rsidRPr="009F6DCF">
        <w:rPr>
          <w:rFonts w:ascii="Arial" w:eastAsia="Calibri" w:hAnsi="Arial" w:cs="Arial"/>
          <w:color w:val="000000" w:themeColor="text1"/>
        </w:rPr>
        <w:t xml:space="preserve">bien au-dessous des 31,6 millions relevés en moyenne depuis 1986. Par segment, </w:t>
      </w:r>
      <w:r w:rsidR="005620F5">
        <w:rPr>
          <w:rFonts w:ascii="Arial" w:eastAsia="Calibri" w:hAnsi="Arial" w:cs="Arial"/>
          <w:color w:val="000000" w:themeColor="text1"/>
        </w:rPr>
        <w:t xml:space="preserve">en lien avec les évolutions </w:t>
      </w:r>
      <w:r>
        <w:rPr>
          <w:rFonts w:ascii="Arial" w:eastAsia="Calibri" w:hAnsi="Arial" w:cs="Arial"/>
          <w:color w:val="000000" w:themeColor="text1"/>
        </w:rPr>
        <w:t>prévu</w:t>
      </w:r>
      <w:r w:rsidR="005620F5">
        <w:rPr>
          <w:rFonts w:ascii="Arial" w:eastAsia="Calibri" w:hAnsi="Arial" w:cs="Arial"/>
          <w:color w:val="000000" w:themeColor="text1"/>
        </w:rPr>
        <w:t xml:space="preserve">es </w:t>
      </w:r>
      <w:r>
        <w:rPr>
          <w:rFonts w:ascii="Arial" w:eastAsia="Calibri" w:hAnsi="Arial" w:cs="Arial"/>
          <w:color w:val="000000" w:themeColor="text1"/>
        </w:rPr>
        <w:t>d</w:t>
      </w:r>
      <w:r w:rsidR="005620F5">
        <w:rPr>
          <w:rFonts w:ascii="Arial" w:eastAsia="Calibri" w:hAnsi="Arial" w:cs="Arial"/>
          <w:color w:val="000000" w:themeColor="text1"/>
        </w:rPr>
        <w:t xml:space="preserve">es surfaces autorisées, </w:t>
      </w:r>
      <w:r w:rsidR="005620F5" w:rsidRPr="009F6DCF">
        <w:rPr>
          <w:rFonts w:ascii="Arial" w:eastAsia="Calibri" w:hAnsi="Arial" w:cs="Arial"/>
          <w:color w:val="000000" w:themeColor="text1"/>
        </w:rPr>
        <w:t xml:space="preserve">les bâtiments administratifs, les bâtiments industriels et assimilés </w:t>
      </w:r>
      <w:r w:rsidR="005620F5">
        <w:rPr>
          <w:rFonts w:ascii="Arial" w:eastAsia="Calibri" w:hAnsi="Arial" w:cs="Arial"/>
          <w:color w:val="000000" w:themeColor="text1"/>
        </w:rPr>
        <w:t>ainsi que</w:t>
      </w:r>
      <w:r w:rsidR="005620F5" w:rsidRPr="009F6DCF">
        <w:rPr>
          <w:rFonts w:ascii="Arial" w:eastAsia="Calibri" w:hAnsi="Arial" w:cs="Arial"/>
          <w:color w:val="000000" w:themeColor="text1"/>
        </w:rPr>
        <w:t xml:space="preserve"> les hébergements hôteliers progresseraient respectivement de 4,7</w:t>
      </w:r>
      <w:r>
        <w:rPr>
          <w:rFonts w:ascii="Arial" w:eastAsia="Calibri" w:hAnsi="Arial" w:cs="Arial"/>
          <w:color w:val="000000" w:themeColor="text1"/>
        </w:rPr>
        <w:t> </w:t>
      </w:r>
      <w:r w:rsidR="005620F5" w:rsidRPr="009F6DCF">
        <w:rPr>
          <w:rFonts w:ascii="Arial" w:eastAsia="Calibri" w:hAnsi="Arial" w:cs="Arial"/>
          <w:color w:val="000000" w:themeColor="text1"/>
        </w:rPr>
        <w:t>%, 4,0</w:t>
      </w:r>
      <w:r>
        <w:rPr>
          <w:rFonts w:ascii="Arial" w:eastAsia="Calibri" w:hAnsi="Arial" w:cs="Arial"/>
          <w:color w:val="000000" w:themeColor="text1"/>
        </w:rPr>
        <w:t> </w:t>
      </w:r>
      <w:r w:rsidR="005620F5" w:rsidRPr="009F6DCF">
        <w:rPr>
          <w:rFonts w:ascii="Arial" w:eastAsia="Calibri" w:hAnsi="Arial" w:cs="Arial"/>
          <w:color w:val="000000" w:themeColor="text1"/>
        </w:rPr>
        <w:t>% et 1,8</w:t>
      </w:r>
      <w:r w:rsidR="005620F5">
        <w:rPr>
          <w:rFonts w:ascii="Arial" w:eastAsia="Calibri" w:hAnsi="Arial" w:cs="Arial"/>
          <w:color w:val="000000" w:themeColor="text1"/>
        </w:rPr>
        <w:t> %</w:t>
      </w:r>
      <w:r w:rsidR="005620F5" w:rsidRPr="009F6DCF">
        <w:rPr>
          <w:rFonts w:ascii="Arial" w:eastAsia="Calibri" w:hAnsi="Arial" w:cs="Arial"/>
          <w:color w:val="000000" w:themeColor="text1"/>
        </w:rPr>
        <w:t>.  À l’</w:t>
      </w:r>
      <w:r w:rsidR="005620F5">
        <w:rPr>
          <w:rFonts w:ascii="Arial" w:eastAsia="Calibri" w:hAnsi="Arial" w:cs="Arial"/>
          <w:color w:val="000000" w:themeColor="text1"/>
        </w:rPr>
        <w:t>opposé</w:t>
      </w:r>
      <w:r w:rsidR="005620F5" w:rsidRPr="009F6DCF">
        <w:rPr>
          <w:rFonts w:ascii="Arial" w:eastAsia="Calibri" w:hAnsi="Arial" w:cs="Arial"/>
          <w:color w:val="000000" w:themeColor="text1"/>
        </w:rPr>
        <w:t xml:space="preserve">, les </w:t>
      </w:r>
      <w:r w:rsidR="005620F5">
        <w:rPr>
          <w:rFonts w:ascii="Arial" w:eastAsia="Calibri" w:hAnsi="Arial" w:cs="Arial"/>
          <w:color w:val="000000" w:themeColor="text1"/>
        </w:rPr>
        <w:t xml:space="preserve">commerces </w:t>
      </w:r>
      <w:r w:rsidR="005620F5" w:rsidRPr="009F6DCF">
        <w:rPr>
          <w:rFonts w:ascii="Arial" w:eastAsia="Calibri" w:hAnsi="Arial" w:cs="Arial"/>
          <w:color w:val="000000" w:themeColor="text1"/>
        </w:rPr>
        <w:t xml:space="preserve">abandonneraient </w:t>
      </w:r>
      <w:r w:rsidR="005620F5">
        <w:rPr>
          <w:rFonts w:ascii="Arial" w:eastAsia="Calibri" w:hAnsi="Arial" w:cs="Arial"/>
          <w:color w:val="000000" w:themeColor="text1"/>
        </w:rPr>
        <w:t>7</w:t>
      </w:r>
      <w:r w:rsidR="005620F5" w:rsidRPr="009F6DCF">
        <w:rPr>
          <w:rFonts w:ascii="Arial" w:eastAsia="Calibri" w:hAnsi="Arial" w:cs="Arial"/>
          <w:color w:val="000000" w:themeColor="text1"/>
        </w:rPr>
        <w:t>,</w:t>
      </w:r>
      <w:r w:rsidR="005620F5">
        <w:rPr>
          <w:rFonts w:ascii="Arial" w:eastAsia="Calibri" w:hAnsi="Arial" w:cs="Arial"/>
          <w:color w:val="000000" w:themeColor="text1"/>
        </w:rPr>
        <w:t>1</w:t>
      </w:r>
      <w:r>
        <w:rPr>
          <w:rFonts w:ascii="Arial" w:eastAsia="Calibri" w:hAnsi="Arial" w:cs="Arial"/>
          <w:color w:val="000000" w:themeColor="text1"/>
        </w:rPr>
        <w:t> </w:t>
      </w:r>
      <w:r w:rsidR="005620F5" w:rsidRPr="009F6DCF">
        <w:rPr>
          <w:rFonts w:ascii="Arial" w:eastAsia="Calibri" w:hAnsi="Arial" w:cs="Arial"/>
          <w:color w:val="000000" w:themeColor="text1"/>
        </w:rPr>
        <w:t xml:space="preserve">%, suivis par les </w:t>
      </w:r>
      <w:r w:rsidR="005620F5">
        <w:rPr>
          <w:rFonts w:ascii="Arial" w:eastAsia="Calibri" w:hAnsi="Arial" w:cs="Arial"/>
          <w:color w:val="000000" w:themeColor="text1"/>
        </w:rPr>
        <w:t>bureaux, à -15,5 %.</w:t>
      </w:r>
    </w:p>
    <w:p w14:paraId="63EF1130" w14:textId="4BD453DE" w:rsidR="005620F5" w:rsidRDefault="005620F5" w:rsidP="005620F5">
      <w:pPr>
        <w:spacing w:after="120" w:line="360" w:lineRule="auto"/>
        <w:jc w:val="both"/>
        <w:rPr>
          <w:rFonts w:ascii="Arial" w:eastAsia="Calibri" w:hAnsi="Arial" w:cs="Arial"/>
          <w:color w:val="000000" w:themeColor="text1"/>
        </w:rPr>
      </w:pPr>
      <w:r w:rsidRPr="009F6DCF">
        <w:rPr>
          <w:rFonts w:ascii="Arial" w:eastAsia="Calibri" w:hAnsi="Arial" w:cs="Arial"/>
          <w:color w:val="000000" w:themeColor="text1"/>
        </w:rPr>
        <w:lastRenderedPageBreak/>
        <w:t xml:space="preserve">En termes de production, </w:t>
      </w:r>
      <w:r>
        <w:rPr>
          <w:rFonts w:ascii="Arial" w:eastAsia="Calibri" w:hAnsi="Arial" w:cs="Arial"/>
          <w:color w:val="000000" w:themeColor="text1"/>
        </w:rPr>
        <w:t xml:space="preserve">compte tenu des délais </w:t>
      </w:r>
      <w:r w:rsidR="00681FDF">
        <w:rPr>
          <w:rFonts w:ascii="Arial" w:eastAsia="Calibri" w:hAnsi="Arial" w:cs="Arial"/>
          <w:color w:val="000000" w:themeColor="text1"/>
        </w:rPr>
        <w:t xml:space="preserve">de réalisation </w:t>
      </w:r>
      <w:r>
        <w:rPr>
          <w:rFonts w:ascii="Arial" w:eastAsia="Calibri" w:hAnsi="Arial" w:cs="Arial"/>
          <w:color w:val="000000" w:themeColor="text1"/>
        </w:rPr>
        <w:t xml:space="preserve">et d’une baisse des surfaces commencées de 13,7 % en 2023, </w:t>
      </w:r>
      <w:r w:rsidRPr="009F6DCF">
        <w:rPr>
          <w:rFonts w:ascii="Arial" w:eastAsia="Calibri" w:hAnsi="Arial" w:cs="Arial"/>
          <w:color w:val="000000" w:themeColor="text1"/>
        </w:rPr>
        <w:t xml:space="preserve">le non résidentiel neuf </w:t>
      </w:r>
      <w:r w:rsidR="00681FDF">
        <w:rPr>
          <w:rFonts w:ascii="Arial" w:eastAsia="Calibri" w:hAnsi="Arial" w:cs="Arial"/>
          <w:color w:val="000000" w:themeColor="text1"/>
        </w:rPr>
        <w:t>recule</w:t>
      </w:r>
      <w:r>
        <w:rPr>
          <w:rFonts w:ascii="Arial" w:eastAsia="Calibri" w:hAnsi="Arial" w:cs="Arial"/>
          <w:color w:val="000000" w:themeColor="text1"/>
        </w:rPr>
        <w:t xml:space="preserve">rait de </w:t>
      </w:r>
      <w:r w:rsidRPr="009F6DCF">
        <w:rPr>
          <w:rFonts w:ascii="Arial" w:eastAsia="Calibri" w:hAnsi="Arial" w:cs="Arial"/>
          <w:color w:val="000000" w:themeColor="text1"/>
        </w:rPr>
        <w:t>6,0</w:t>
      </w:r>
      <w:r w:rsidR="00681FDF">
        <w:rPr>
          <w:rFonts w:ascii="Arial" w:eastAsia="Calibri" w:hAnsi="Arial" w:cs="Arial"/>
          <w:color w:val="000000" w:themeColor="text1"/>
        </w:rPr>
        <w:t> </w:t>
      </w:r>
      <w:r w:rsidRPr="009F6DCF">
        <w:rPr>
          <w:rFonts w:ascii="Arial" w:eastAsia="Calibri" w:hAnsi="Arial" w:cs="Arial"/>
          <w:color w:val="000000" w:themeColor="text1"/>
        </w:rPr>
        <w:t>%</w:t>
      </w:r>
      <w:r>
        <w:rPr>
          <w:rFonts w:ascii="Arial" w:eastAsia="Calibri" w:hAnsi="Arial" w:cs="Arial"/>
          <w:color w:val="000000" w:themeColor="text1"/>
        </w:rPr>
        <w:t xml:space="preserve"> en volume</w:t>
      </w:r>
      <w:r w:rsidRPr="009F6DCF">
        <w:rPr>
          <w:rFonts w:ascii="Arial" w:eastAsia="Calibri" w:hAnsi="Arial" w:cs="Arial"/>
          <w:color w:val="000000" w:themeColor="text1"/>
        </w:rPr>
        <w:t>. Hormis les bâtiments administratifs</w:t>
      </w:r>
      <w:r>
        <w:rPr>
          <w:rFonts w:ascii="Arial" w:eastAsia="Calibri" w:hAnsi="Arial" w:cs="Arial"/>
          <w:color w:val="000000" w:themeColor="text1"/>
        </w:rPr>
        <w:t>,</w:t>
      </w:r>
      <w:r w:rsidRPr="009F6DCF">
        <w:rPr>
          <w:rFonts w:ascii="Arial" w:eastAsia="Calibri" w:hAnsi="Arial" w:cs="Arial"/>
          <w:color w:val="000000" w:themeColor="text1"/>
        </w:rPr>
        <w:t xml:space="preserve"> en croissance de 2,0</w:t>
      </w:r>
      <w:r w:rsidR="00681FDF">
        <w:rPr>
          <w:rFonts w:ascii="Arial" w:eastAsia="Calibri" w:hAnsi="Arial" w:cs="Arial"/>
          <w:color w:val="000000" w:themeColor="text1"/>
        </w:rPr>
        <w:t> </w:t>
      </w:r>
      <w:r w:rsidRPr="009F6DCF">
        <w:rPr>
          <w:rFonts w:ascii="Arial" w:eastAsia="Calibri" w:hAnsi="Arial" w:cs="Arial"/>
          <w:color w:val="000000" w:themeColor="text1"/>
        </w:rPr>
        <w:t xml:space="preserve">%, les autres segments s’afficheraient en </w:t>
      </w:r>
      <w:r w:rsidR="00681FDF">
        <w:rPr>
          <w:rFonts w:ascii="Arial" w:eastAsia="Calibri" w:hAnsi="Arial" w:cs="Arial"/>
          <w:color w:val="000000" w:themeColor="text1"/>
        </w:rPr>
        <w:t>baisse</w:t>
      </w:r>
      <w:r w:rsidRPr="009F6DCF">
        <w:rPr>
          <w:rFonts w:ascii="Arial" w:eastAsia="Calibri" w:hAnsi="Arial" w:cs="Arial"/>
          <w:color w:val="000000" w:themeColor="text1"/>
        </w:rPr>
        <w:t>. Plus précisément, les bureaux enregistreraient la perte la plus importante (-13,3</w:t>
      </w:r>
      <w:r w:rsidR="00681FDF">
        <w:rPr>
          <w:rFonts w:ascii="Arial" w:eastAsia="Calibri" w:hAnsi="Arial" w:cs="Arial"/>
          <w:color w:val="000000" w:themeColor="text1"/>
        </w:rPr>
        <w:t> </w:t>
      </w:r>
      <w:r w:rsidRPr="009F6DCF">
        <w:rPr>
          <w:rFonts w:ascii="Arial" w:eastAsia="Calibri" w:hAnsi="Arial" w:cs="Arial"/>
          <w:color w:val="000000" w:themeColor="text1"/>
        </w:rPr>
        <w:t xml:space="preserve">%), </w:t>
      </w:r>
      <w:r>
        <w:rPr>
          <w:rFonts w:ascii="Arial" w:eastAsia="Calibri" w:hAnsi="Arial" w:cs="Arial"/>
          <w:color w:val="000000" w:themeColor="text1"/>
        </w:rPr>
        <w:t>devant</w:t>
      </w:r>
      <w:r w:rsidRPr="009F6DCF">
        <w:rPr>
          <w:rFonts w:ascii="Arial" w:eastAsia="Calibri" w:hAnsi="Arial" w:cs="Arial"/>
          <w:color w:val="000000" w:themeColor="text1"/>
        </w:rPr>
        <w:t xml:space="preserve"> les commerces (-11,0</w:t>
      </w:r>
      <w:r w:rsidR="00681FDF">
        <w:rPr>
          <w:rFonts w:ascii="Arial" w:eastAsia="Calibri" w:hAnsi="Arial" w:cs="Arial"/>
          <w:color w:val="000000" w:themeColor="text1"/>
        </w:rPr>
        <w:t> </w:t>
      </w:r>
      <w:r w:rsidRPr="009F6DCF">
        <w:rPr>
          <w:rFonts w:ascii="Arial" w:eastAsia="Calibri" w:hAnsi="Arial" w:cs="Arial"/>
          <w:color w:val="000000" w:themeColor="text1"/>
        </w:rPr>
        <w:t>%)</w:t>
      </w:r>
      <w:r>
        <w:rPr>
          <w:rFonts w:ascii="Arial" w:eastAsia="Calibri" w:hAnsi="Arial" w:cs="Arial"/>
          <w:color w:val="000000" w:themeColor="text1"/>
        </w:rPr>
        <w:t xml:space="preserve">, </w:t>
      </w:r>
      <w:r w:rsidRPr="009F6DCF">
        <w:rPr>
          <w:rFonts w:ascii="Arial" w:eastAsia="Calibri" w:hAnsi="Arial" w:cs="Arial"/>
          <w:color w:val="000000" w:themeColor="text1"/>
        </w:rPr>
        <w:t>les bâtiments industriels et assimilés (-6,5</w:t>
      </w:r>
      <w:r w:rsidR="00681FDF">
        <w:rPr>
          <w:rFonts w:ascii="Arial" w:eastAsia="Calibri" w:hAnsi="Arial" w:cs="Arial"/>
          <w:color w:val="000000" w:themeColor="text1"/>
        </w:rPr>
        <w:t> </w:t>
      </w:r>
      <w:r w:rsidRPr="009F6DCF">
        <w:rPr>
          <w:rFonts w:ascii="Arial" w:eastAsia="Calibri" w:hAnsi="Arial" w:cs="Arial"/>
          <w:color w:val="000000" w:themeColor="text1"/>
        </w:rPr>
        <w:t xml:space="preserve">%), </w:t>
      </w:r>
      <w:r w:rsidR="00681FDF">
        <w:rPr>
          <w:rFonts w:ascii="Arial" w:eastAsia="Calibri" w:hAnsi="Arial" w:cs="Arial"/>
          <w:color w:val="000000" w:themeColor="text1"/>
        </w:rPr>
        <w:t>puis</w:t>
      </w:r>
      <w:r w:rsidRPr="009F6DCF">
        <w:rPr>
          <w:rFonts w:ascii="Arial" w:eastAsia="Calibri" w:hAnsi="Arial" w:cs="Arial"/>
          <w:color w:val="000000" w:themeColor="text1"/>
        </w:rPr>
        <w:t xml:space="preserve"> les hébergements hôteliers (-5,9</w:t>
      </w:r>
      <w:r w:rsidR="00681FDF">
        <w:rPr>
          <w:rFonts w:ascii="Arial" w:eastAsia="Calibri" w:hAnsi="Arial" w:cs="Arial"/>
          <w:color w:val="000000" w:themeColor="text1"/>
        </w:rPr>
        <w:t> </w:t>
      </w:r>
      <w:r w:rsidRPr="009F6DCF">
        <w:rPr>
          <w:rFonts w:ascii="Arial" w:eastAsia="Calibri" w:hAnsi="Arial" w:cs="Arial"/>
          <w:color w:val="000000" w:themeColor="text1"/>
        </w:rPr>
        <w:t>%).</w:t>
      </w:r>
    </w:p>
    <w:p w14:paraId="6F01DE9F" w14:textId="77777777" w:rsidR="00BD53DD" w:rsidRPr="00CD7FFC" w:rsidRDefault="00BD53DD" w:rsidP="00BD53DD">
      <w:pPr>
        <w:spacing w:before="360" w:after="120" w:line="360" w:lineRule="auto"/>
        <w:jc w:val="both"/>
        <w:rPr>
          <w:rFonts w:ascii="Arial" w:eastAsia="Calibri" w:hAnsi="Arial" w:cs="Arial"/>
          <w:color w:val="000000" w:themeColor="text1"/>
          <w:u w:val="single"/>
        </w:rPr>
      </w:pPr>
      <w:r w:rsidRPr="00CD7FFC">
        <w:rPr>
          <w:rFonts w:ascii="Arial" w:eastAsia="Calibri" w:hAnsi="Arial" w:cs="Arial"/>
          <w:color w:val="000000" w:themeColor="text1"/>
          <w:u w:val="single"/>
        </w:rPr>
        <w:t>3.3 L’amélioration-entretien</w:t>
      </w:r>
    </w:p>
    <w:p w14:paraId="30F39F90" w14:textId="1BF58F3F" w:rsidR="005620F5" w:rsidRPr="0073482E" w:rsidRDefault="005620F5" w:rsidP="005620F5">
      <w:pPr>
        <w:spacing w:after="120" w:line="360" w:lineRule="auto"/>
        <w:jc w:val="both"/>
        <w:rPr>
          <w:rFonts w:ascii="Arial" w:eastAsia="Calibri" w:hAnsi="Arial" w:cs="Arial"/>
          <w:color w:val="000000" w:themeColor="text1"/>
        </w:rPr>
      </w:pPr>
      <w:r w:rsidRPr="0073482E">
        <w:rPr>
          <w:rFonts w:ascii="Arial" w:eastAsia="Calibri" w:hAnsi="Arial" w:cs="Arial"/>
          <w:color w:val="000000" w:themeColor="text1"/>
        </w:rPr>
        <w:t>En 2024, l’activité en amélioration-entretien ralentirait</w:t>
      </w:r>
      <w:r w:rsidR="00681FDF">
        <w:rPr>
          <w:rFonts w:ascii="Arial" w:eastAsia="Calibri" w:hAnsi="Arial" w:cs="Arial"/>
          <w:color w:val="000000" w:themeColor="text1"/>
        </w:rPr>
        <w:t>,</w:t>
      </w:r>
      <w:r w:rsidRPr="0073482E">
        <w:rPr>
          <w:rFonts w:ascii="Arial" w:eastAsia="Calibri" w:hAnsi="Arial" w:cs="Arial"/>
          <w:color w:val="000000" w:themeColor="text1"/>
        </w:rPr>
        <w:t xml:space="preserve"> à +1,6</w:t>
      </w:r>
      <w:r w:rsidR="00681FDF">
        <w:rPr>
          <w:rFonts w:ascii="Arial" w:eastAsia="Calibri" w:hAnsi="Arial" w:cs="Arial"/>
          <w:color w:val="000000" w:themeColor="text1"/>
        </w:rPr>
        <w:t> </w:t>
      </w:r>
      <w:r w:rsidRPr="0073482E">
        <w:rPr>
          <w:rFonts w:ascii="Arial" w:eastAsia="Calibri" w:hAnsi="Arial" w:cs="Arial"/>
          <w:color w:val="000000" w:themeColor="text1"/>
        </w:rPr>
        <w:t>%</w:t>
      </w:r>
      <w:r>
        <w:rPr>
          <w:rFonts w:ascii="Arial" w:eastAsia="Calibri" w:hAnsi="Arial" w:cs="Arial"/>
          <w:color w:val="000000" w:themeColor="text1"/>
        </w:rPr>
        <w:t xml:space="preserve"> en volume</w:t>
      </w:r>
      <w:r w:rsidRPr="0073482E">
        <w:rPr>
          <w:rFonts w:ascii="Arial" w:eastAsia="Calibri" w:hAnsi="Arial" w:cs="Arial"/>
          <w:color w:val="000000" w:themeColor="text1"/>
        </w:rPr>
        <w:t xml:space="preserve"> après +2,6</w:t>
      </w:r>
      <w:r w:rsidR="00FC0B70">
        <w:rPr>
          <w:rFonts w:ascii="Arial" w:eastAsia="Calibri" w:hAnsi="Arial" w:cs="Arial"/>
          <w:color w:val="000000" w:themeColor="text1"/>
        </w:rPr>
        <w:t> </w:t>
      </w:r>
      <w:r w:rsidRPr="0073482E">
        <w:rPr>
          <w:rFonts w:ascii="Arial" w:eastAsia="Calibri" w:hAnsi="Arial" w:cs="Arial"/>
          <w:color w:val="000000" w:themeColor="text1"/>
        </w:rPr>
        <w:t>% en 2023</w:t>
      </w:r>
      <w:r>
        <w:rPr>
          <w:rFonts w:ascii="Arial" w:eastAsia="Calibri" w:hAnsi="Arial" w:cs="Arial"/>
          <w:color w:val="000000" w:themeColor="text1"/>
        </w:rPr>
        <w:t xml:space="preserve">. Tous les segments (logement comme non résidentiel, rénovation énergétique comme autres travaux) </w:t>
      </w:r>
      <w:r w:rsidR="00FC0B70">
        <w:rPr>
          <w:rFonts w:ascii="Arial" w:eastAsia="Calibri" w:hAnsi="Arial" w:cs="Arial"/>
          <w:color w:val="000000" w:themeColor="text1"/>
        </w:rPr>
        <w:t>connaitraient un tassement</w:t>
      </w:r>
      <w:r>
        <w:rPr>
          <w:rFonts w:ascii="Arial" w:eastAsia="Calibri" w:hAnsi="Arial" w:cs="Arial"/>
          <w:color w:val="000000" w:themeColor="text1"/>
        </w:rPr>
        <w:t>.</w:t>
      </w:r>
    </w:p>
    <w:p w14:paraId="0D3D29E3" w14:textId="33022F18" w:rsidR="005620F5" w:rsidRPr="006C75FF"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 xml:space="preserve">Plus précisément, </w:t>
      </w:r>
      <w:r w:rsidRPr="006C75FF">
        <w:rPr>
          <w:rFonts w:ascii="Arial" w:eastAsia="Calibri" w:hAnsi="Arial" w:cs="Arial"/>
          <w:color w:val="000000" w:themeColor="text1"/>
        </w:rPr>
        <w:t>le</w:t>
      </w:r>
      <w:r>
        <w:rPr>
          <w:rFonts w:ascii="Arial" w:eastAsia="Calibri" w:hAnsi="Arial" w:cs="Arial"/>
          <w:color w:val="000000" w:themeColor="text1"/>
        </w:rPr>
        <w:t xml:space="preserve"> logement se lirait</w:t>
      </w:r>
      <w:r w:rsidRPr="006C75FF">
        <w:rPr>
          <w:rFonts w:ascii="Arial" w:eastAsia="Calibri" w:hAnsi="Arial" w:cs="Arial"/>
          <w:color w:val="000000" w:themeColor="text1"/>
        </w:rPr>
        <w:t xml:space="preserve"> à </w:t>
      </w:r>
      <w:r>
        <w:rPr>
          <w:rFonts w:ascii="Arial" w:eastAsia="Calibri" w:hAnsi="Arial" w:cs="Arial"/>
          <w:color w:val="000000" w:themeColor="text1"/>
        </w:rPr>
        <w:t>+1,1</w:t>
      </w:r>
      <w:r w:rsidR="00FC0B70">
        <w:rPr>
          <w:rFonts w:ascii="Arial" w:eastAsia="Calibri" w:hAnsi="Arial" w:cs="Arial"/>
          <w:color w:val="000000" w:themeColor="text1"/>
        </w:rPr>
        <w:t> </w:t>
      </w:r>
      <w:r w:rsidRPr="006C75FF">
        <w:rPr>
          <w:rFonts w:ascii="Arial" w:eastAsia="Calibri" w:hAnsi="Arial" w:cs="Arial"/>
          <w:color w:val="000000" w:themeColor="text1"/>
        </w:rPr>
        <w:t>%</w:t>
      </w:r>
      <w:r>
        <w:rPr>
          <w:rFonts w:ascii="Arial" w:eastAsia="Calibri" w:hAnsi="Arial" w:cs="Arial"/>
          <w:color w:val="000000" w:themeColor="text1"/>
        </w:rPr>
        <w:t xml:space="preserve"> seulement, soit 1,3 point de pourcentage au-dessous de 2023</w:t>
      </w:r>
      <w:r w:rsidRPr="006C75FF">
        <w:rPr>
          <w:rFonts w:ascii="Arial" w:eastAsia="Calibri" w:hAnsi="Arial" w:cs="Arial"/>
          <w:color w:val="000000" w:themeColor="text1"/>
        </w:rPr>
        <w:t xml:space="preserve">. </w:t>
      </w:r>
      <w:r>
        <w:rPr>
          <w:rFonts w:ascii="Arial" w:eastAsia="Calibri" w:hAnsi="Arial" w:cs="Arial"/>
          <w:color w:val="000000" w:themeColor="text1"/>
        </w:rPr>
        <w:t>Au sein de ce segment, l</w:t>
      </w:r>
      <w:r w:rsidRPr="006C75FF">
        <w:rPr>
          <w:rFonts w:ascii="Arial" w:eastAsia="Calibri" w:hAnsi="Arial" w:cs="Arial"/>
          <w:color w:val="000000" w:themeColor="text1"/>
        </w:rPr>
        <w:t xml:space="preserve">a rénovation énergétique </w:t>
      </w:r>
      <w:r>
        <w:rPr>
          <w:rFonts w:ascii="Arial" w:eastAsia="Calibri" w:hAnsi="Arial" w:cs="Arial"/>
          <w:color w:val="000000" w:themeColor="text1"/>
        </w:rPr>
        <w:t>se tasserait</w:t>
      </w:r>
      <w:r w:rsidRPr="006C75FF">
        <w:rPr>
          <w:rFonts w:ascii="Arial" w:eastAsia="Calibri" w:hAnsi="Arial" w:cs="Arial"/>
          <w:color w:val="000000" w:themeColor="text1"/>
        </w:rPr>
        <w:t xml:space="preserve"> </w:t>
      </w:r>
      <w:r>
        <w:rPr>
          <w:rFonts w:ascii="Arial" w:eastAsia="Calibri" w:hAnsi="Arial" w:cs="Arial"/>
          <w:color w:val="000000" w:themeColor="text1"/>
        </w:rPr>
        <w:t>à +1,3 %,</w:t>
      </w:r>
      <w:r w:rsidRPr="006C75FF">
        <w:rPr>
          <w:rFonts w:ascii="Arial" w:eastAsia="Calibri" w:hAnsi="Arial" w:cs="Arial"/>
          <w:color w:val="000000" w:themeColor="text1"/>
        </w:rPr>
        <w:t xml:space="preserve"> compte tenu de la réforme de </w:t>
      </w:r>
      <w:proofErr w:type="spellStart"/>
      <w:r w:rsidRPr="006C75FF">
        <w:rPr>
          <w:rFonts w:ascii="Arial" w:eastAsia="Calibri" w:hAnsi="Arial" w:cs="Arial"/>
          <w:color w:val="000000" w:themeColor="text1"/>
        </w:rPr>
        <w:t>MaPrimeRénov</w:t>
      </w:r>
      <w:proofErr w:type="spellEnd"/>
      <w:r w:rsidRPr="006C75FF">
        <w:rPr>
          <w:rFonts w:ascii="Arial" w:eastAsia="Calibri" w:hAnsi="Arial" w:cs="Arial"/>
          <w:color w:val="000000" w:themeColor="text1"/>
        </w:rPr>
        <w:t>’</w:t>
      </w:r>
      <w:r>
        <w:rPr>
          <w:rFonts w:ascii="Arial" w:eastAsia="Calibri" w:hAnsi="Arial" w:cs="Arial"/>
          <w:color w:val="000000" w:themeColor="text1"/>
        </w:rPr>
        <w:t>. De fait, malgré un budget en hausse d’1,6 Md€, l</w:t>
      </w:r>
      <w:r w:rsidR="00FC0B70">
        <w:rPr>
          <w:rFonts w:ascii="Arial" w:eastAsia="Calibri" w:hAnsi="Arial" w:cs="Arial"/>
          <w:color w:val="000000" w:themeColor="text1"/>
        </w:rPr>
        <w:t>a réform</w:t>
      </w:r>
      <w:r>
        <w:rPr>
          <w:rFonts w:ascii="Arial" w:eastAsia="Calibri" w:hAnsi="Arial" w:cs="Arial"/>
          <w:color w:val="000000" w:themeColor="text1"/>
        </w:rPr>
        <w:t xml:space="preserve">e </w:t>
      </w:r>
      <w:r w:rsidR="00FC0B70">
        <w:rPr>
          <w:rFonts w:ascii="Arial" w:eastAsia="Calibri" w:hAnsi="Arial" w:cs="Arial"/>
          <w:color w:val="000000" w:themeColor="text1"/>
        </w:rPr>
        <w:t xml:space="preserve">du </w:t>
      </w:r>
      <w:r>
        <w:rPr>
          <w:rFonts w:ascii="Arial" w:eastAsia="Calibri" w:hAnsi="Arial" w:cs="Arial"/>
          <w:color w:val="000000" w:themeColor="text1"/>
        </w:rPr>
        <w:t xml:space="preserve">dispositif </w:t>
      </w:r>
      <w:r w:rsidR="00FC0B70">
        <w:rPr>
          <w:rFonts w:ascii="Arial" w:eastAsia="Calibri" w:hAnsi="Arial" w:cs="Arial"/>
          <w:color w:val="000000" w:themeColor="text1"/>
        </w:rPr>
        <w:t>pénalisera sa distribution. D’une part, le fort resserrement de la rénovation par geste (exclusion des passoires thermiques et obligation de financer au-moins le passage à un système de chauffage décarboné)</w:t>
      </w:r>
      <w:r w:rsidR="009A3E9C">
        <w:rPr>
          <w:rFonts w:ascii="Arial" w:eastAsia="Calibri" w:hAnsi="Arial" w:cs="Arial"/>
          <w:color w:val="000000" w:themeColor="text1"/>
        </w:rPr>
        <w:t xml:space="preserve">, d’autre part, </w:t>
      </w:r>
      <w:r>
        <w:rPr>
          <w:rFonts w:ascii="Arial" w:eastAsia="Calibri" w:hAnsi="Arial" w:cs="Arial"/>
          <w:color w:val="000000" w:themeColor="text1"/>
        </w:rPr>
        <w:t xml:space="preserve">la </w:t>
      </w:r>
      <w:r w:rsidR="009A3E9C">
        <w:rPr>
          <w:rFonts w:ascii="Arial" w:eastAsia="Calibri" w:hAnsi="Arial" w:cs="Arial"/>
          <w:color w:val="000000" w:themeColor="text1"/>
        </w:rPr>
        <w:t xml:space="preserve">mise </w:t>
      </w:r>
      <w:r w:rsidR="00327DC2">
        <w:rPr>
          <w:rFonts w:ascii="Arial" w:eastAsia="Calibri" w:hAnsi="Arial" w:cs="Arial"/>
          <w:color w:val="000000" w:themeColor="text1"/>
        </w:rPr>
        <w:t>en</w:t>
      </w:r>
      <w:r w:rsidR="009A3E9C">
        <w:rPr>
          <w:rFonts w:ascii="Arial" w:eastAsia="Calibri" w:hAnsi="Arial" w:cs="Arial"/>
          <w:color w:val="000000" w:themeColor="text1"/>
        </w:rPr>
        <w:t xml:space="preserve"> place poussive</w:t>
      </w:r>
      <w:r>
        <w:rPr>
          <w:rFonts w:ascii="Arial" w:eastAsia="Calibri" w:hAnsi="Arial" w:cs="Arial"/>
          <w:color w:val="000000" w:themeColor="text1"/>
        </w:rPr>
        <w:t xml:space="preserve"> de Mon Accompagnateur </w:t>
      </w:r>
      <w:proofErr w:type="spellStart"/>
      <w:r>
        <w:rPr>
          <w:rFonts w:ascii="Arial" w:eastAsia="Calibri" w:hAnsi="Arial" w:cs="Arial"/>
          <w:color w:val="000000" w:themeColor="text1"/>
        </w:rPr>
        <w:t>Rénov</w:t>
      </w:r>
      <w:proofErr w:type="spellEnd"/>
      <w:r w:rsidR="00BC4413">
        <w:rPr>
          <w:rFonts w:ascii="Arial" w:eastAsia="Calibri" w:hAnsi="Arial" w:cs="Arial"/>
          <w:color w:val="000000" w:themeColor="text1"/>
        </w:rPr>
        <w:t>’</w:t>
      </w:r>
      <w:r>
        <w:rPr>
          <w:rFonts w:ascii="Arial" w:eastAsia="Calibri" w:hAnsi="Arial" w:cs="Arial"/>
          <w:color w:val="000000" w:themeColor="text1"/>
        </w:rPr>
        <w:t xml:space="preserve">, </w:t>
      </w:r>
      <w:r w:rsidR="009A3E9C">
        <w:rPr>
          <w:rFonts w:ascii="Arial" w:eastAsia="Calibri" w:hAnsi="Arial" w:cs="Arial"/>
          <w:color w:val="000000" w:themeColor="text1"/>
        </w:rPr>
        <w:t>intermédiaire indispensable au bénéficie de l’aide à la rénovation d’ampleur, constitueront des points de blocage ou, à tout le moins, des sources de difficulté</w:t>
      </w:r>
      <w:r>
        <w:rPr>
          <w:rFonts w:ascii="Arial" w:eastAsia="Calibri" w:hAnsi="Arial" w:cs="Arial"/>
          <w:color w:val="000000" w:themeColor="text1"/>
        </w:rPr>
        <w:t xml:space="preserve">. </w:t>
      </w:r>
      <w:r w:rsidR="00436E3C">
        <w:rPr>
          <w:rFonts w:ascii="Arial" w:eastAsia="Calibri" w:hAnsi="Arial" w:cs="Arial"/>
          <w:color w:val="000000" w:themeColor="text1"/>
        </w:rPr>
        <w:t xml:space="preserve">La FFB retient pour l’heure un décrochage modéré, mais il pourrait se révéler plus violent. </w:t>
      </w:r>
      <w:r>
        <w:rPr>
          <w:rFonts w:ascii="Arial" w:eastAsia="Calibri" w:hAnsi="Arial" w:cs="Arial"/>
          <w:color w:val="000000" w:themeColor="text1"/>
        </w:rPr>
        <w:t>Par ailleurs</w:t>
      </w:r>
      <w:r w:rsidRPr="006C75FF">
        <w:rPr>
          <w:rFonts w:ascii="Arial" w:eastAsia="Calibri" w:hAnsi="Arial" w:cs="Arial"/>
          <w:color w:val="000000" w:themeColor="text1"/>
        </w:rPr>
        <w:t>,</w:t>
      </w:r>
      <w:r>
        <w:rPr>
          <w:rFonts w:ascii="Arial" w:eastAsia="Calibri" w:hAnsi="Arial" w:cs="Arial"/>
          <w:color w:val="000000" w:themeColor="text1"/>
        </w:rPr>
        <w:t xml:space="preserve"> le volume d</w:t>
      </w:r>
      <w:r w:rsidRPr="006C75FF">
        <w:rPr>
          <w:rFonts w:ascii="Arial" w:eastAsia="Calibri" w:hAnsi="Arial" w:cs="Arial"/>
          <w:color w:val="000000" w:themeColor="text1"/>
        </w:rPr>
        <w:t xml:space="preserve">e travaux </w:t>
      </w:r>
      <w:r>
        <w:rPr>
          <w:rFonts w:ascii="Arial" w:eastAsia="Calibri" w:hAnsi="Arial" w:cs="Arial"/>
          <w:color w:val="000000" w:themeColor="text1"/>
        </w:rPr>
        <w:t>non</w:t>
      </w:r>
      <w:r w:rsidRPr="006C75FF">
        <w:rPr>
          <w:rFonts w:ascii="Arial" w:eastAsia="Calibri" w:hAnsi="Arial" w:cs="Arial"/>
          <w:color w:val="000000" w:themeColor="text1"/>
        </w:rPr>
        <w:t xml:space="preserve"> énergétique</w:t>
      </w:r>
      <w:r>
        <w:rPr>
          <w:rFonts w:ascii="Arial" w:eastAsia="Calibri" w:hAnsi="Arial" w:cs="Arial"/>
          <w:color w:val="000000" w:themeColor="text1"/>
        </w:rPr>
        <w:t>s</w:t>
      </w:r>
      <w:r w:rsidRPr="006C75FF">
        <w:rPr>
          <w:rFonts w:ascii="Arial" w:eastAsia="Calibri" w:hAnsi="Arial" w:cs="Arial"/>
          <w:color w:val="000000" w:themeColor="text1"/>
        </w:rPr>
        <w:t xml:space="preserve"> ralentirait également à </w:t>
      </w:r>
      <w:r>
        <w:rPr>
          <w:rFonts w:ascii="Arial" w:eastAsia="Calibri" w:hAnsi="Arial" w:cs="Arial"/>
          <w:color w:val="000000" w:themeColor="text1"/>
        </w:rPr>
        <w:t>+</w:t>
      </w:r>
      <w:r w:rsidRPr="006C75FF">
        <w:rPr>
          <w:rFonts w:ascii="Arial" w:eastAsia="Calibri" w:hAnsi="Arial" w:cs="Arial"/>
          <w:color w:val="000000" w:themeColor="text1"/>
        </w:rPr>
        <w:t>1,0 %</w:t>
      </w:r>
      <w:r>
        <w:rPr>
          <w:rFonts w:ascii="Arial" w:eastAsia="Calibri" w:hAnsi="Arial" w:cs="Arial"/>
          <w:color w:val="000000" w:themeColor="text1"/>
        </w:rPr>
        <w:t>, du fait</w:t>
      </w:r>
      <w:r w:rsidRPr="006C75FF">
        <w:rPr>
          <w:rFonts w:ascii="Arial" w:eastAsia="Calibri" w:hAnsi="Arial" w:cs="Arial"/>
          <w:color w:val="000000" w:themeColor="text1"/>
        </w:rPr>
        <w:t xml:space="preserve"> du recul </w:t>
      </w:r>
      <w:r>
        <w:rPr>
          <w:rFonts w:ascii="Arial" w:eastAsia="Calibri" w:hAnsi="Arial" w:cs="Arial"/>
          <w:color w:val="000000" w:themeColor="text1"/>
        </w:rPr>
        <w:t xml:space="preserve">de 20 % </w:t>
      </w:r>
      <w:r w:rsidRPr="006C75FF">
        <w:rPr>
          <w:rFonts w:ascii="Arial" w:eastAsia="Calibri" w:hAnsi="Arial" w:cs="Arial"/>
          <w:color w:val="000000" w:themeColor="text1"/>
        </w:rPr>
        <w:t xml:space="preserve">du nombre de transactions de logements anciens en 2023. Toutefois, </w:t>
      </w:r>
      <w:r>
        <w:rPr>
          <w:rFonts w:ascii="Arial" w:eastAsia="Calibri" w:hAnsi="Arial" w:cs="Arial"/>
          <w:color w:val="000000" w:themeColor="text1"/>
        </w:rPr>
        <w:t>ce sous-segment</w:t>
      </w:r>
      <w:r w:rsidRPr="006C75FF">
        <w:rPr>
          <w:rFonts w:ascii="Arial" w:eastAsia="Calibri" w:hAnsi="Arial" w:cs="Arial"/>
          <w:color w:val="000000" w:themeColor="text1"/>
        </w:rPr>
        <w:t xml:space="preserve"> bénéficiera du </w:t>
      </w:r>
      <w:r>
        <w:rPr>
          <w:rFonts w:ascii="Arial" w:eastAsia="Calibri" w:hAnsi="Arial" w:cs="Arial"/>
          <w:color w:val="000000" w:themeColor="text1"/>
        </w:rPr>
        <w:t xml:space="preserve">nouveau </w:t>
      </w:r>
      <w:r w:rsidRPr="006C75FF">
        <w:rPr>
          <w:rFonts w:ascii="Arial" w:eastAsia="Calibri" w:hAnsi="Arial" w:cs="Arial"/>
          <w:color w:val="000000" w:themeColor="text1"/>
        </w:rPr>
        <w:t xml:space="preserve">dispositif </w:t>
      </w:r>
      <w:proofErr w:type="spellStart"/>
      <w:r w:rsidRPr="006C75FF">
        <w:rPr>
          <w:rFonts w:ascii="Arial" w:eastAsia="Calibri" w:hAnsi="Arial" w:cs="Arial"/>
          <w:color w:val="000000" w:themeColor="text1"/>
        </w:rPr>
        <w:t>Ma</w:t>
      </w:r>
      <w:r>
        <w:rPr>
          <w:rFonts w:ascii="Arial" w:eastAsia="Calibri" w:hAnsi="Arial" w:cs="Arial"/>
          <w:color w:val="000000" w:themeColor="text1"/>
        </w:rPr>
        <w:t>P</w:t>
      </w:r>
      <w:r w:rsidRPr="006C75FF">
        <w:rPr>
          <w:rFonts w:ascii="Arial" w:eastAsia="Calibri" w:hAnsi="Arial" w:cs="Arial"/>
          <w:color w:val="000000" w:themeColor="text1"/>
        </w:rPr>
        <w:t>rime</w:t>
      </w:r>
      <w:r>
        <w:rPr>
          <w:rFonts w:ascii="Arial" w:eastAsia="Calibri" w:hAnsi="Arial" w:cs="Arial"/>
          <w:color w:val="000000" w:themeColor="text1"/>
        </w:rPr>
        <w:t>A</w:t>
      </w:r>
      <w:r w:rsidRPr="006C75FF">
        <w:rPr>
          <w:rFonts w:ascii="Arial" w:eastAsia="Calibri" w:hAnsi="Arial" w:cs="Arial"/>
          <w:color w:val="000000" w:themeColor="text1"/>
        </w:rPr>
        <w:t>dapt</w:t>
      </w:r>
      <w:proofErr w:type="spellEnd"/>
      <w:r w:rsidR="00BC4413">
        <w:rPr>
          <w:rFonts w:ascii="Arial" w:eastAsia="Calibri" w:hAnsi="Arial" w:cs="Arial"/>
          <w:color w:val="000000" w:themeColor="text1"/>
        </w:rPr>
        <w:t xml:space="preserve">’ et du </w:t>
      </w:r>
      <w:r w:rsidR="009A3E9C">
        <w:rPr>
          <w:rFonts w:ascii="Arial" w:eastAsia="Calibri" w:hAnsi="Arial" w:cs="Arial"/>
          <w:color w:val="000000" w:themeColor="text1"/>
        </w:rPr>
        <w:t xml:space="preserve">crédit d’impôt </w:t>
      </w:r>
      <w:r w:rsidR="003959F3">
        <w:rPr>
          <w:rFonts w:ascii="Arial" w:eastAsia="Calibri" w:hAnsi="Arial" w:cs="Arial"/>
          <w:color w:val="000000" w:themeColor="text1"/>
        </w:rPr>
        <w:t>« autonomie »</w:t>
      </w:r>
      <w:r w:rsidRPr="006C75FF">
        <w:rPr>
          <w:rFonts w:ascii="Arial" w:eastAsia="Calibri" w:hAnsi="Arial" w:cs="Arial"/>
          <w:color w:val="000000" w:themeColor="text1"/>
        </w:rPr>
        <w:t xml:space="preserve"> </w:t>
      </w:r>
      <w:r w:rsidR="009A3E9C">
        <w:rPr>
          <w:rFonts w:ascii="Arial" w:eastAsia="Calibri" w:hAnsi="Arial" w:cs="Arial"/>
          <w:color w:val="000000" w:themeColor="text1"/>
        </w:rPr>
        <w:t>pour</w:t>
      </w:r>
      <w:r w:rsidRPr="006C75FF">
        <w:rPr>
          <w:rFonts w:ascii="Arial" w:eastAsia="Calibri" w:hAnsi="Arial" w:cs="Arial"/>
          <w:color w:val="000000" w:themeColor="text1"/>
        </w:rPr>
        <w:t xml:space="preserve"> favoriser les travaux d’adaptation des logements </w:t>
      </w:r>
      <w:r w:rsidR="003959F3">
        <w:rPr>
          <w:rFonts w:ascii="Arial" w:eastAsia="Calibri" w:hAnsi="Arial" w:cs="Arial"/>
          <w:color w:val="000000" w:themeColor="text1"/>
        </w:rPr>
        <w:t>aux situations de handicap</w:t>
      </w:r>
      <w:r w:rsidRPr="006C75FF">
        <w:rPr>
          <w:rFonts w:ascii="Arial" w:eastAsia="Calibri" w:hAnsi="Arial" w:cs="Arial"/>
          <w:color w:val="000000" w:themeColor="text1"/>
        </w:rPr>
        <w:t xml:space="preserve">. </w:t>
      </w:r>
      <w:r>
        <w:rPr>
          <w:rFonts w:ascii="Arial" w:eastAsia="Calibri" w:hAnsi="Arial" w:cs="Arial"/>
          <w:color w:val="000000" w:themeColor="text1"/>
        </w:rPr>
        <w:t>Mais</w:t>
      </w:r>
      <w:r w:rsidRPr="006C75FF">
        <w:rPr>
          <w:rFonts w:ascii="Arial" w:eastAsia="Calibri" w:hAnsi="Arial" w:cs="Arial"/>
          <w:color w:val="000000" w:themeColor="text1"/>
        </w:rPr>
        <w:t xml:space="preserve"> l’effet </w:t>
      </w:r>
      <w:r>
        <w:rPr>
          <w:rFonts w:ascii="Arial" w:eastAsia="Calibri" w:hAnsi="Arial" w:cs="Arial"/>
          <w:color w:val="000000" w:themeColor="text1"/>
        </w:rPr>
        <w:t>positif sur l’activité restera contenu</w:t>
      </w:r>
      <w:r w:rsidR="003959F3">
        <w:rPr>
          <w:rFonts w:ascii="Arial" w:eastAsia="Calibri" w:hAnsi="Arial" w:cs="Arial"/>
          <w:color w:val="000000" w:themeColor="text1"/>
        </w:rPr>
        <w:t xml:space="preserve"> en 2024</w:t>
      </w:r>
      <w:r w:rsidRPr="006C75FF">
        <w:rPr>
          <w:rFonts w:ascii="Arial" w:eastAsia="Calibri" w:hAnsi="Arial" w:cs="Arial"/>
          <w:color w:val="000000" w:themeColor="text1"/>
        </w:rPr>
        <w:t>.</w:t>
      </w:r>
    </w:p>
    <w:p w14:paraId="7E7CA362" w14:textId="4569BA5A" w:rsidR="005620F5" w:rsidRPr="00CE464A" w:rsidRDefault="005620F5" w:rsidP="005620F5">
      <w:pPr>
        <w:spacing w:after="120" w:line="360" w:lineRule="auto"/>
        <w:jc w:val="both"/>
        <w:rPr>
          <w:rFonts w:ascii="Arial" w:eastAsia="Calibri" w:hAnsi="Arial" w:cs="Arial"/>
          <w:color w:val="000000" w:themeColor="text1"/>
        </w:rPr>
      </w:pPr>
      <w:r>
        <w:rPr>
          <w:rFonts w:ascii="Arial" w:eastAsia="Calibri" w:hAnsi="Arial" w:cs="Arial"/>
          <w:color w:val="000000" w:themeColor="text1"/>
        </w:rPr>
        <w:t>Dans le n</w:t>
      </w:r>
      <w:r w:rsidRPr="00B4643F">
        <w:rPr>
          <w:rFonts w:ascii="Arial" w:eastAsia="Calibri" w:hAnsi="Arial" w:cs="Arial"/>
          <w:color w:val="000000" w:themeColor="text1"/>
        </w:rPr>
        <w:t>on résidentiel,</w:t>
      </w:r>
      <w:r>
        <w:rPr>
          <w:rFonts w:ascii="Arial" w:eastAsia="Calibri" w:hAnsi="Arial" w:cs="Arial"/>
          <w:color w:val="000000" w:themeColor="text1"/>
        </w:rPr>
        <w:t xml:space="preserve"> l’activité continuerait de croître à bon rythme</w:t>
      </w:r>
      <w:r w:rsidR="003959F3">
        <w:rPr>
          <w:rFonts w:ascii="Arial" w:eastAsia="Calibri" w:hAnsi="Arial" w:cs="Arial"/>
          <w:color w:val="000000" w:themeColor="text1"/>
        </w:rPr>
        <w:t>, soit</w:t>
      </w:r>
      <w:r>
        <w:rPr>
          <w:rFonts w:ascii="Arial" w:eastAsia="Calibri" w:hAnsi="Arial" w:cs="Arial"/>
          <w:color w:val="000000" w:themeColor="text1"/>
        </w:rPr>
        <w:t xml:space="preserve"> +2,3</w:t>
      </w:r>
      <w:r w:rsidR="003959F3">
        <w:rPr>
          <w:rFonts w:ascii="Arial" w:eastAsia="Calibri" w:hAnsi="Arial" w:cs="Arial"/>
          <w:color w:val="000000" w:themeColor="text1"/>
        </w:rPr>
        <w:t> </w:t>
      </w:r>
      <w:r>
        <w:rPr>
          <w:rFonts w:ascii="Arial" w:eastAsia="Calibri" w:hAnsi="Arial" w:cs="Arial"/>
          <w:color w:val="000000" w:themeColor="text1"/>
        </w:rPr>
        <w:t>%</w:t>
      </w:r>
      <w:r w:rsidR="00BC4413">
        <w:rPr>
          <w:rFonts w:ascii="Arial" w:eastAsia="Calibri" w:hAnsi="Arial" w:cs="Arial"/>
          <w:color w:val="000000" w:themeColor="text1"/>
        </w:rPr>
        <w:t>,</w:t>
      </w:r>
      <w:r w:rsidR="003959F3">
        <w:rPr>
          <w:rFonts w:ascii="Arial" w:eastAsia="Calibri" w:hAnsi="Arial" w:cs="Arial"/>
          <w:color w:val="000000" w:themeColor="text1"/>
        </w:rPr>
        <w:t xml:space="preserve"> d</w:t>
      </w:r>
      <w:r w:rsidR="00327DC2">
        <w:rPr>
          <w:rFonts w:ascii="Arial" w:eastAsia="Calibri" w:hAnsi="Arial" w:cs="Arial"/>
          <w:color w:val="000000" w:themeColor="text1"/>
        </w:rPr>
        <w:t>e</w:t>
      </w:r>
      <w:r w:rsidR="003959F3">
        <w:rPr>
          <w:rFonts w:ascii="Arial" w:eastAsia="Calibri" w:hAnsi="Arial" w:cs="Arial"/>
          <w:color w:val="000000" w:themeColor="text1"/>
        </w:rPr>
        <w:t xml:space="preserve"> même</w:t>
      </w:r>
      <w:r w:rsidR="00327DC2">
        <w:rPr>
          <w:rFonts w:ascii="Arial" w:eastAsia="Calibri" w:hAnsi="Arial" w:cs="Arial"/>
          <w:color w:val="000000" w:themeColor="text1"/>
        </w:rPr>
        <w:t xml:space="preserve"> que</w:t>
      </w:r>
      <w:r w:rsidR="003959F3">
        <w:rPr>
          <w:rFonts w:ascii="Arial" w:eastAsia="Calibri" w:hAnsi="Arial" w:cs="Arial"/>
          <w:color w:val="000000" w:themeColor="text1"/>
        </w:rPr>
        <w:t xml:space="preserve"> +3,5 % pour</w:t>
      </w:r>
      <w:r>
        <w:rPr>
          <w:rFonts w:ascii="Arial" w:eastAsia="Calibri" w:hAnsi="Arial" w:cs="Arial"/>
          <w:color w:val="000000" w:themeColor="text1"/>
        </w:rPr>
        <w:t xml:space="preserve"> la rénovation énergétique. Ce dernier </w:t>
      </w:r>
      <w:r w:rsidR="003959F3">
        <w:rPr>
          <w:rFonts w:ascii="Arial" w:eastAsia="Calibri" w:hAnsi="Arial" w:cs="Arial"/>
          <w:color w:val="000000" w:themeColor="text1"/>
        </w:rPr>
        <w:t xml:space="preserve">sous-marché </w:t>
      </w:r>
      <w:r>
        <w:rPr>
          <w:rFonts w:ascii="Arial" w:eastAsia="Calibri" w:hAnsi="Arial" w:cs="Arial"/>
          <w:color w:val="000000" w:themeColor="text1"/>
        </w:rPr>
        <w:t>bénéficiera encore des effets</w:t>
      </w:r>
      <w:r w:rsidRPr="00B4643F">
        <w:rPr>
          <w:rFonts w:ascii="Arial" w:eastAsia="Calibri" w:hAnsi="Arial" w:cs="Arial"/>
          <w:color w:val="000000" w:themeColor="text1"/>
        </w:rPr>
        <w:t xml:space="preserve"> </w:t>
      </w:r>
      <w:r>
        <w:rPr>
          <w:rFonts w:ascii="Arial" w:eastAsia="Calibri" w:hAnsi="Arial" w:cs="Arial"/>
          <w:color w:val="000000" w:themeColor="text1"/>
        </w:rPr>
        <w:t>positifs liés au</w:t>
      </w:r>
      <w:r w:rsidRPr="00B4643F">
        <w:rPr>
          <w:rFonts w:ascii="Arial" w:eastAsia="Calibri" w:hAnsi="Arial" w:cs="Arial"/>
          <w:color w:val="000000" w:themeColor="text1"/>
        </w:rPr>
        <w:t xml:space="preserve"> crédit d’impôt </w:t>
      </w:r>
      <w:r w:rsidR="003959F3">
        <w:rPr>
          <w:rFonts w:ascii="Arial" w:eastAsia="Calibri" w:hAnsi="Arial" w:cs="Arial"/>
          <w:color w:val="000000" w:themeColor="text1"/>
        </w:rPr>
        <w:t>pour la rénovation énergétique des locaux</w:t>
      </w:r>
      <w:r>
        <w:rPr>
          <w:rFonts w:ascii="Arial" w:eastAsia="Calibri" w:hAnsi="Arial" w:cs="Arial"/>
          <w:color w:val="000000" w:themeColor="text1"/>
        </w:rPr>
        <w:t xml:space="preserve"> des </w:t>
      </w:r>
      <w:r w:rsidRPr="00B4643F">
        <w:rPr>
          <w:rFonts w:ascii="Arial" w:eastAsia="Calibri" w:hAnsi="Arial" w:cs="Arial"/>
          <w:color w:val="000000" w:themeColor="text1"/>
        </w:rPr>
        <w:t>TPE</w:t>
      </w:r>
      <w:r>
        <w:rPr>
          <w:rFonts w:ascii="Arial" w:eastAsia="Calibri" w:hAnsi="Arial" w:cs="Arial"/>
          <w:color w:val="000000" w:themeColor="text1"/>
        </w:rPr>
        <w:t xml:space="preserve"> et PME, mais également de l’entrée en vigueur de l’audit tertiaire</w:t>
      </w:r>
      <w:r w:rsidR="003959F3">
        <w:rPr>
          <w:rFonts w:ascii="Arial" w:eastAsia="Calibri" w:hAnsi="Arial" w:cs="Arial"/>
          <w:color w:val="000000" w:themeColor="text1"/>
        </w:rPr>
        <w:t xml:space="preserve"> et du plan de rénovation des écoles</w:t>
      </w:r>
      <w:r>
        <w:rPr>
          <w:rFonts w:ascii="Arial" w:eastAsia="Calibri" w:hAnsi="Arial" w:cs="Arial"/>
          <w:color w:val="000000" w:themeColor="text1"/>
        </w:rPr>
        <w:t>. Quant aux travaux non énergétiques, ils progresseraient encore de 2,0</w:t>
      </w:r>
      <w:r w:rsidR="003959F3">
        <w:rPr>
          <w:rFonts w:ascii="Arial" w:eastAsia="Calibri" w:hAnsi="Arial" w:cs="Arial"/>
          <w:color w:val="000000" w:themeColor="text1"/>
        </w:rPr>
        <w:t> </w:t>
      </w:r>
      <w:r>
        <w:rPr>
          <w:rFonts w:ascii="Arial" w:eastAsia="Calibri" w:hAnsi="Arial" w:cs="Arial"/>
          <w:color w:val="000000" w:themeColor="text1"/>
        </w:rPr>
        <w:t>%, les entreprises privilégi</w:t>
      </w:r>
      <w:r w:rsidR="003959F3">
        <w:rPr>
          <w:rFonts w:ascii="Arial" w:eastAsia="Calibri" w:hAnsi="Arial" w:cs="Arial"/>
          <w:color w:val="000000" w:themeColor="text1"/>
        </w:rPr>
        <w:t>ant aujourd’hui</w:t>
      </w:r>
      <w:r>
        <w:rPr>
          <w:rFonts w:ascii="Arial" w:eastAsia="Calibri" w:hAnsi="Arial" w:cs="Arial"/>
          <w:color w:val="000000" w:themeColor="text1"/>
        </w:rPr>
        <w:t xml:space="preserve"> </w:t>
      </w:r>
      <w:r w:rsidR="003959F3">
        <w:rPr>
          <w:rFonts w:ascii="Arial" w:eastAsia="Calibri" w:hAnsi="Arial" w:cs="Arial"/>
          <w:color w:val="000000" w:themeColor="text1"/>
        </w:rPr>
        <w:t>l</w:t>
      </w:r>
      <w:r>
        <w:rPr>
          <w:rFonts w:ascii="Arial" w:eastAsia="Calibri" w:hAnsi="Arial" w:cs="Arial"/>
          <w:color w:val="000000" w:themeColor="text1"/>
        </w:rPr>
        <w:t xml:space="preserve">es travaux de rénovation plutôt </w:t>
      </w:r>
      <w:r w:rsidR="005B7FEF">
        <w:rPr>
          <w:rFonts w:ascii="Arial" w:eastAsia="Calibri" w:hAnsi="Arial" w:cs="Arial"/>
          <w:color w:val="000000" w:themeColor="text1"/>
        </w:rPr>
        <w:t xml:space="preserve">que </w:t>
      </w:r>
      <w:r w:rsidR="003959F3">
        <w:rPr>
          <w:rFonts w:ascii="Arial" w:eastAsia="Calibri" w:hAnsi="Arial" w:cs="Arial"/>
          <w:color w:val="000000" w:themeColor="text1"/>
        </w:rPr>
        <w:t>l</w:t>
      </w:r>
      <w:r>
        <w:rPr>
          <w:rFonts w:ascii="Arial" w:eastAsia="Calibri" w:hAnsi="Arial" w:cs="Arial"/>
          <w:color w:val="000000" w:themeColor="text1"/>
        </w:rPr>
        <w:t>’investi</w:t>
      </w:r>
      <w:r w:rsidR="003959F3">
        <w:rPr>
          <w:rFonts w:ascii="Arial" w:eastAsia="Calibri" w:hAnsi="Arial" w:cs="Arial"/>
          <w:color w:val="000000" w:themeColor="text1"/>
        </w:rPr>
        <w:t>ssement</w:t>
      </w:r>
      <w:r>
        <w:rPr>
          <w:rFonts w:ascii="Arial" w:eastAsia="Calibri" w:hAnsi="Arial" w:cs="Arial"/>
          <w:color w:val="000000" w:themeColor="text1"/>
        </w:rPr>
        <w:t xml:space="preserve"> dans de nouveaux bâtiments.</w:t>
      </w:r>
    </w:p>
    <w:p w14:paraId="32760680" w14:textId="08055529" w:rsidR="00BD53DD" w:rsidRPr="00CD7FFC" w:rsidRDefault="00BD53DD" w:rsidP="00506FE0">
      <w:pPr>
        <w:spacing w:before="360" w:after="120" w:line="360" w:lineRule="auto"/>
        <w:rPr>
          <w:rFonts w:ascii="Arial" w:eastAsia="Calibri" w:hAnsi="Arial" w:cs="Arial"/>
          <w:color w:val="000000" w:themeColor="text1"/>
          <w:u w:val="single"/>
        </w:rPr>
      </w:pPr>
      <w:r w:rsidRPr="00CD7FFC">
        <w:rPr>
          <w:rFonts w:ascii="Arial" w:eastAsia="Calibri" w:hAnsi="Arial" w:cs="Arial"/>
          <w:color w:val="000000" w:themeColor="text1"/>
          <w:u w:val="single"/>
        </w:rPr>
        <w:t>3.4 Le bâtiment</w:t>
      </w:r>
    </w:p>
    <w:p w14:paraId="3DE26583" w14:textId="7D38838C" w:rsidR="005620F5" w:rsidRPr="006C50B7" w:rsidRDefault="005620F5" w:rsidP="005620F5">
      <w:pPr>
        <w:spacing w:after="120" w:line="360" w:lineRule="auto"/>
        <w:jc w:val="both"/>
        <w:rPr>
          <w:rFonts w:ascii="Arial" w:eastAsia="Calibri" w:hAnsi="Arial" w:cs="Arial"/>
          <w:color w:val="000000" w:themeColor="text1"/>
        </w:rPr>
      </w:pPr>
      <w:r w:rsidRPr="006C50B7">
        <w:rPr>
          <w:rFonts w:ascii="Arial" w:eastAsia="Calibri" w:hAnsi="Arial" w:cs="Arial"/>
          <w:color w:val="000000" w:themeColor="text1"/>
        </w:rPr>
        <w:t xml:space="preserve">Après </w:t>
      </w:r>
      <w:r>
        <w:rPr>
          <w:rFonts w:ascii="Arial" w:eastAsia="Calibri" w:hAnsi="Arial" w:cs="Arial"/>
          <w:color w:val="000000" w:themeColor="text1"/>
        </w:rPr>
        <w:t xml:space="preserve">une érosion de son activité à </w:t>
      </w:r>
      <w:r w:rsidRPr="006C50B7">
        <w:rPr>
          <w:rFonts w:ascii="Arial" w:eastAsia="Calibri" w:hAnsi="Arial" w:cs="Arial"/>
          <w:color w:val="000000" w:themeColor="text1"/>
        </w:rPr>
        <w:t>-0,6</w:t>
      </w:r>
      <w:r w:rsidR="003959F3">
        <w:rPr>
          <w:rFonts w:ascii="Arial" w:eastAsia="Calibri" w:hAnsi="Arial" w:cs="Arial"/>
          <w:color w:val="000000" w:themeColor="text1"/>
        </w:rPr>
        <w:t> </w:t>
      </w:r>
      <w:r w:rsidRPr="006C50B7">
        <w:rPr>
          <w:rFonts w:ascii="Arial" w:eastAsia="Calibri" w:hAnsi="Arial" w:cs="Arial"/>
          <w:color w:val="000000" w:themeColor="text1"/>
        </w:rPr>
        <w:t xml:space="preserve">% en volume en 2023, </w:t>
      </w:r>
      <w:r>
        <w:rPr>
          <w:rFonts w:ascii="Arial" w:eastAsia="Calibri" w:hAnsi="Arial" w:cs="Arial"/>
          <w:color w:val="000000" w:themeColor="text1"/>
        </w:rPr>
        <w:t>le</w:t>
      </w:r>
      <w:r w:rsidRPr="006C50B7">
        <w:rPr>
          <w:rFonts w:ascii="Arial" w:eastAsia="Calibri" w:hAnsi="Arial" w:cs="Arial"/>
          <w:color w:val="000000" w:themeColor="text1"/>
        </w:rPr>
        <w:t xml:space="preserve"> bâtiment </w:t>
      </w:r>
      <w:r>
        <w:rPr>
          <w:rFonts w:ascii="Arial" w:eastAsia="Calibri" w:hAnsi="Arial" w:cs="Arial"/>
          <w:color w:val="000000" w:themeColor="text1"/>
        </w:rPr>
        <w:t>entrerait</w:t>
      </w:r>
      <w:r w:rsidRPr="006C50B7">
        <w:rPr>
          <w:rFonts w:ascii="Arial" w:eastAsia="Calibri" w:hAnsi="Arial" w:cs="Arial"/>
          <w:color w:val="000000" w:themeColor="text1"/>
        </w:rPr>
        <w:t xml:space="preserve"> véritablement </w:t>
      </w:r>
      <w:r>
        <w:rPr>
          <w:rFonts w:ascii="Arial" w:eastAsia="Calibri" w:hAnsi="Arial" w:cs="Arial"/>
          <w:color w:val="000000" w:themeColor="text1"/>
        </w:rPr>
        <w:t xml:space="preserve">en récession </w:t>
      </w:r>
      <w:r w:rsidRPr="006C50B7">
        <w:rPr>
          <w:rFonts w:ascii="Arial" w:eastAsia="Calibri" w:hAnsi="Arial" w:cs="Arial"/>
          <w:color w:val="000000" w:themeColor="text1"/>
        </w:rPr>
        <w:t>en 2024</w:t>
      </w:r>
      <w:r>
        <w:rPr>
          <w:rFonts w:ascii="Arial" w:eastAsia="Calibri" w:hAnsi="Arial" w:cs="Arial"/>
          <w:color w:val="000000" w:themeColor="text1"/>
        </w:rPr>
        <w:t xml:space="preserve">, </w:t>
      </w:r>
      <w:r w:rsidR="003959F3">
        <w:rPr>
          <w:rFonts w:ascii="Arial" w:eastAsia="Calibri" w:hAnsi="Arial" w:cs="Arial"/>
          <w:color w:val="000000" w:themeColor="text1"/>
        </w:rPr>
        <w:t xml:space="preserve">à </w:t>
      </w:r>
      <w:r>
        <w:rPr>
          <w:rFonts w:ascii="Arial" w:eastAsia="Calibri" w:hAnsi="Arial" w:cs="Arial"/>
          <w:color w:val="000000" w:themeColor="text1"/>
        </w:rPr>
        <w:t>-5,5 %</w:t>
      </w:r>
      <w:r w:rsidRPr="006C50B7">
        <w:rPr>
          <w:rFonts w:ascii="Arial" w:eastAsia="Calibri" w:hAnsi="Arial" w:cs="Arial"/>
          <w:color w:val="000000" w:themeColor="text1"/>
        </w:rPr>
        <w:t>. L’effondrement du logement neuf (-21,3</w:t>
      </w:r>
      <w:r w:rsidR="003959F3">
        <w:rPr>
          <w:rFonts w:ascii="Arial" w:eastAsia="Calibri" w:hAnsi="Arial" w:cs="Arial"/>
          <w:color w:val="000000" w:themeColor="text1"/>
        </w:rPr>
        <w:t> </w:t>
      </w:r>
      <w:r w:rsidRPr="006C50B7">
        <w:rPr>
          <w:rFonts w:ascii="Arial" w:eastAsia="Calibri" w:hAnsi="Arial" w:cs="Arial"/>
          <w:color w:val="000000" w:themeColor="text1"/>
        </w:rPr>
        <w:t>%) et</w:t>
      </w:r>
      <w:r w:rsidR="009977A7">
        <w:rPr>
          <w:rFonts w:ascii="Arial" w:eastAsia="Calibri" w:hAnsi="Arial" w:cs="Arial"/>
          <w:color w:val="000000" w:themeColor="text1"/>
        </w:rPr>
        <w:t xml:space="preserve"> </w:t>
      </w:r>
      <w:r w:rsidR="009977A7">
        <w:rPr>
          <w:rFonts w:ascii="Arial" w:eastAsia="Calibri" w:hAnsi="Arial" w:cs="Arial"/>
          <w:color w:val="000000" w:themeColor="text1"/>
        </w:rPr>
        <w:lastRenderedPageBreak/>
        <w:t>le recul</w:t>
      </w:r>
      <w:r w:rsidRPr="006C50B7">
        <w:rPr>
          <w:rFonts w:ascii="Arial" w:eastAsia="Calibri" w:hAnsi="Arial" w:cs="Arial"/>
          <w:color w:val="000000" w:themeColor="text1"/>
        </w:rPr>
        <w:t xml:space="preserve"> du non résidentiel neuf </w:t>
      </w:r>
      <w:r w:rsidRPr="006C50B7">
        <w:rPr>
          <w:rFonts w:ascii="Arial" w:eastAsia="Calibri" w:hAnsi="Arial" w:cs="Arial"/>
        </w:rPr>
        <w:t>(-6,0</w:t>
      </w:r>
      <w:r w:rsidR="009977A7">
        <w:rPr>
          <w:rFonts w:ascii="Arial" w:eastAsia="Calibri" w:hAnsi="Arial" w:cs="Arial"/>
        </w:rPr>
        <w:t> </w:t>
      </w:r>
      <w:r w:rsidRPr="006C50B7">
        <w:rPr>
          <w:rFonts w:ascii="Arial" w:eastAsia="Calibri" w:hAnsi="Arial" w:cs="Arial"/>
        </w:rPr>
        <w:t>%)</w:t>
      </w:r>
      <w:r w:rsidR="009977A7">
        <w:rPr>
          <w:rFonts w:ascii="Arial" w:eastAsia="Calibri" w:hAnsi="Arial" w:cs="Arial"/>
        </w:rPr>
        <w:t xml:space="preserve"> se cumulant pour déboucher sur une chute globale du neuf (-14,6 %), qui l’emporterait largement sur la petite hausse (+1,6 %) de l’</w:t>
      </w:r>
      <w:r w:rsidRPr="006C50B7">
        <w:rPr>
          <w:rFonts w:ascii="Arial" w:eastAsia="Calibri" w:hAnsi="Arial" w:cs="Arial"/>
        </w:rPr>
        <w:t>amélioration-entretien</w:t>
      </w:r>
      <w:r w:rsidRPr="006C50B7">
        <w:rPr>
          <w:rFonts w:ascii="Arial" w:eastAsia="Calibri" w:hAnsi="Arial" w:cs="Arial"/>
          <w:color w:val="000000" w:themeColor="text1"/>
        </w:rPr>
        <w:t>.</w:t>
      </w:r>
    </w:p>
    <w:p w14:paraId="315D1E91" w14:textId="4F7E937D" w:rsidR="005620F5" w:rsidRDefault="005620F5" w:rsidP="005620F5">
      <w:pPr>
        <w:spacing w:after="120" w:line="360" w:lineRule="auto"/>
        <w:jc w:val="both"/>
        <w:rPr>
          <w:rFonts w:ascii="Arial" w:eastAsia="Calibri" w:hAnsi="Arial" w:cs="Arial"/>
          <w:color w:val="000000" w:themeColor="text1"/>
        </w:rPr>
      </w:pPr>
      <w:r w:rsidRPr="006C50B7">
        <w:rPr>
          <w:rFonts w:ascii="Arial" w:eastAsia="Calibri" w:hAnsi="Arial" w:cs="Arial"/>
          <w:color w:val="000000" w:themeColor="text1"/>
        </w:rPr>
        <w:t>En conséquence</w:t>
      </w:r>
      <w:r w:rsidR="009977A7">
        <w:rPr>
          <w:rFonts w:ascii="Arial" w:eastAsia="Calibri" w:hAnsi="Arial" w:cs="Arial"/>
          <w:color w:val="000000" w:themeColor="text1"/>
        </w:rPr>
        <w:t>, même</w:t>
      </w:r>
      <w:r>
        <w:rPr>
          <w:rFonts w:ascii="Arial" w:eastAsia="Calibri" w:hAnsi="Arial" w:cs="Arial"/>
          <w:color w:val="000000" w:themeColor="text1"/>
        </w:rPr>
        <w:t xml:space="preserve"> en retenant des gains de productivité </w:t>
      </w:r>
      <w:r w:rsidR="009977A7">
        <w:rPr>
          <w:rFonts w:ascii="Arial" w:eastAsia="Calibri" w:hAnsi="Arial" w:cs="Arial"/>
          <w:color w:val="000000" w:themeColor="text1"/>
        </w:rPr>
        <w:t xml:space="preserve">par tête </w:t>
      </w:r>
      <w:r>
        <w:rPr>
          <w:rFonts w:ascii="Arial" w:eastAsia="Calibri" w:hAnsi="Arial" w:cs="Arial"/>
          <w:color w:val="000000" w:themeColor="text1"/>
        </w:rPr>
        <w:t>de 1 %</w:t>
      </w:r>
      <w:r w:rsidRPr="006C50B7">
        <w:rPr>
          <w:rFonts w:ascii="Arial" w:eastAsia="Calibri" w:hAnsi="Arial" w:cs="Arial"/>
          <w:color w:val="000000" w:themeColor="text1"/>
        </w:rPr>
        <w:t xml:space="preserve">, l’emploi salarié et intérimaire (en ETP) dans le bâtiment </w:t>
      </w:r>
      <w:r>
        <w:rPr>
          <w:rFonts w:ascii="Arial" w:eastAsia="Calibri" w:hAnsi="Arial" w:cs="Arial"/>
          <w:color w:val="000000" w:themeColor="text1"/>
        </w:rPr>
        <w:t>décrocher</w:t>
      </w:r>
      <w:r w:rsidR="00327DC2">
        <w:rPr>
          <w:rFonts w:ascii="Arial" w:eastAsia="Calibri" w:hAnsi="Arial" w:cs="Arial"/>
          <w:color w:val="000000" w:themeColor="text1"/>
        </w:rPr>
        <w:t>ait</w:t>
      </w:r>
      <w:r>
        <w:rPr>
          <w:rFonts w:ascii="Arial" w:eastAsia="Calibri" w:hAnsi="Arial" w:cs="Arial"/>
          <w:color w:val="000000" w:themeColor="text1"/>
        </w:rPr>
        <w:t xml:space="preserve"> </w:t>
      </w:r>
      <w:r w:rsidR="009977A7">
        <w:rPr>
          <w:rFonts w:ascii="Arial" w:eastAsia="Calibri" w:hAnsi="Arial" w:cs="Arial"/>
          <w:color w:val="000000" w:themeColor="text1"/>
        </w:rPr>
        <w:t>de</w:t>
      </w:r>
      <w:r>
        <w:rPr>
          <w:rFonts w:ascii="Arial" w:eastAsia="Calibri" w:hAnsi="Arial" w:cs="Arial"/>
          <w:color w:val="000000" w:themeColor="text1"/>
        </w:rPr>
        <w:t xml:space="preserve"> 6,5 %</w:t>
      </w:r>
      <w:r w:rsidR="009977A7">
        <w:rPr>
          <w:rFonts w:ascii="Arial" w:eastAsia="Calibri" w:hAnsi="Arial" w:cs="Arial"/>
          <w:color w:val="000000" w:themeColor="text1"/>
        </w:rPr>
        <w:t xml:space="preserve"> en 2024, soit</w:t>
      </w:r>
      <w:r>
        <w:rPr>
          <w:rFonts w:ascii="Arial" w:eastAsia="Calibri" w:hAnsi="Arial" w:cs="Arial"/>
          <w:color w:val="000000" w:themeColor="text1"/>
        </w:rPr>
        <w:t xml:space="preserve"> 9</w:t>
      </w:r>
      <w:r w:rsidRPr="006C50B7">
        <w:rPr>
          <w:rFonts w:ascii="Arial" w:eastAsia="Calibri" w:hAnsi="Arial" w:cs="Arial"/>
          <w:color w:val="000000" w:themeColor="text1"/>
        </w:rPr>
        <w:t xml:space="preserve">0 000 emplois </w:t>
      </w:r>
      <w:r>
        <w:rPr>
          <w:rFonts w:ascii="Arial" w:eastAsia="Calibri" w:hAnsi="Arial" w:cs="Arial"/>
          <w:color w:val="000000" w:themeColor="text1"/>
        </w:rPr>
        <w:t>détruits</w:t>
      </w:r>
      <w:r w:rsidRPr="006C50B7">
        <w:rPr>
          <w:rFonts w:ascii="Arial" w:eastAsia="Calibri" w:hAnsi="Arial" w:cs="Arial"/>
          <w:color w:val="000000" w:themeColor="text1"/>
        </w:rPr>
        <w:t xml:space="preserve"> </w:t>
      </w:r>
      <w:r w:rsidR="009977A7">
        <w:rPr>
          <w:rFonts w:ascii="Arial" w:eastAsia="Calibri" w:hAnsi="Arial" w:cs="Arial"/>
          <w:color w:val="000000" w:themeColor="text1"/>
        </w:rPr>
        <w:t xml:space="preserve">en moyenne </w:t>
      </w:r>
      <w:r w:rsidRPr="006C50B7">
        <w:rPr>
          <w:rFonts w:ascii="Arial" w:eastAsia="Calibri" w:hAnsi="Arial" w:cs="Arial"/>
          <w:color w:val="000000" w:themeColor="text1"/>
        </w:rPr>
        <w:t>sur l’année</w:t>
      </w:r>
      <w:r>
        <w:rPr>
          <w:rFonts w:ascii="Arial" w:eastAsia="Calibri" w:hAnsi="Arial" w:cs="Arial"/>
          <w:color w:val="000000" w:themeColor="text1"/>
        </w:rPr>
        <w:t>. L</w:t>
      </w:r>
      <w:r w:rsidR="009977A7">
        <w:rPr>
          <w:rFonts w:ascii="Arial" w:eastAsia="Calibri" w:hAnsi="Arial" w:cs="Arial"/>
          <w:color w:val="000000" w:themeColor="text1"/>
        </w:rPr>
        <w:t xml:space="preserve">a vive croissance de l’après crise sanitaire </w:t>
      </w:r>
      <w:r w:rsidR="00A810DF">
        <w:rPr>
          <w:rFonts w:ascii="Arial" w:eastAsia="Calibri" w:hAnsi="Arial" w:cs="Arial"/>
          <w:color w:val="000000" w:themeColor="text1"/>
        </w:rPr>
        <w:t xml:space="preserve">(+110 000 postes entre 2019 et 2023) </w:t>
      </w:r>
      <w:r w:rsidR="009977A7">
        <w:rPr>
          <w:rFonts w:ascii="Arial" w:eastAsia="Calibri" w:hAnsi="Arial" w:cs="Arial"/>
          <w:color w:val="000000" w:themeColor="text1"/>
        </w:rPr>
        <w:t>se trouverait</w:t>
      </w:r>
      <w:r>
        <w:rPr>
          <w:rFonts w:ascii="Arial" w:eastAsia="Calibri" w:hAnsi="Arial" w:cs="Arial"/>
          <w:color w:val="000000" w:themeColor="text1"/>
        </w:rPr>
        <w:t xml:space="preserve"> donc quasiment </w:t>
      </w:r>
      <w:r w:rsidR="00A810DF">
        <w:rPr>
          <w:rFonts w:ascii="Arial" w:eastAsia="Calibri" w:hAnsi="Arial" w:cs="Arial"/>
          <w:color w:val="000000" w:themeColor="text1"/>
        </w:rPr>
        <w:t>annulée</w:t>
      </w:r>
      <w:r>
        <w:rPr>
          <w:rFonts w:ascii="Arial" w:eastAsia="Calibri" w:hAnsi="Arial" w:cs="Arial"/>
          <w:color w:val="000000" w:themeColor="text1"/>
        </w:rPr>
        <w:t>.</w:t>
      </w:r>
    </w:p>
    <w:p w14:paraId="5C6A818F" w14:textId="698B30AC" w:rsidR="00506FE0" w:rsidRDefault="00506FE0"/>
    <w:tbl>
      <w:tblPr>
        <w:tblStyle w:val="Grilledutableau"/>
        <w:tblW w:w="0" w:type="auto"/>
        <w:tblLook w:val="04A0" w:firstRow="1" w:lastRow="0" w:firstColumn="1" w:lastColumn="0" w:noHBand="0" w:noVBand="1"/>
      </w:tblPr>
      <w:tblGrid>
        <w:gridCol w:w="9062"/>
      </w:tblGrid>
      <w:tr w:rsidR="00BD53DD" w14:paraId="2143C81F" w14:textId="77777777" w:rsidTr="00BD53DD">
        <w:tc>
          <w:tcPr>
            <w:tcW w:w="9062" w:type="dxa"/>
          </w:tcPr>
          <w:p w14:paraId="2429DC00" w14:textId="53986E5B" w:rsidR="00BD53DD" w:rsidRPr="00BD53DD" w:rsidRDefault="00BD53DD" w:rsidP="00BD53DD">
            <w:pPr>
              <w:spacing w:line="360" w:lineRule="auto"/>
              <w:jc w:val="both"/>
              <w:rPr>
                <w:rFonts w:ascii="Arial" w:hAnsi="Arial" w:cs="Arial"/>
                <w:b/>
                <w:u w:val="single"/>
              </w:rPr>
            </w:pPr>
            <w:r w:rsidRPr="00BD53DD">
              <w:rPr>
                <w:rFonts w:ascii="Arial" w:hAnsi="Arial" w:cs="Arial"/>
                <w:b/>
                <w:u w:val="single"/>
              </w:rPr>
              <w:t>Avertissement</w:t>
            </w:r>
          </w:p>
          <w:p w14:paraId="0BB1061A" w14:textId="74E9A086" w:rsidR="00BD53DD" w:rsidRDefault="00BD53DD" w:rsidP="00BD53DD">
            <w:pPr>
              <w:spacing w:line="360" w:lineRule="auto"/>
              <w:jc w:val="both"/>
              <w:rPr>
                <w:rFonts w:ascii="Arial" w:hAnsi="Arial" w:cs="Arial"/>
                <w:b/>
                <w:sz w:val="28"/>
                <w:szCs w:val="28"/>
                <w:u w:val="single"/>
              </w:rPr>
            </w:pPr>
            <w:r w:rsidRPr="00BD53DD">
              <w:rPr>
                <w:rFonts w:ascii="Arial" w:hAnsi="Arial" w:cs="Arial"/>
                <w:b/>
              </w:rPr>
              <w:t>Le champ des autorisations et des mises en chantier, répertoriées dans le tableau 2 qui suit comprend les DROM, de façon à être cohérent avec les statistiques Sit@del2. En revanche, les niveaux de production sont calculés sur la seule France métropolitaine. En effet, la répartition de la production par marché est calée sur une base 2007 issue de l’Enquête annuelle d’entreprise qui n’inclut pas les DROM. Nous avons donc raisonné en niveau France métropolitaine, mais en y appliquant les évolutions observées sur la France entière. Si cette méthode pose un problème théorique, il reste qu’en termes d’évolutions, l’incorporation ou non des DROM dans le calcul global ne modifie que très marginalement les résultats.</w:t>
            </w:r>
          </w:p>
        </w:tc>
      </w:tr>
    </w:tbl>
    <w:p w14:paraId="6917AE53" w14:textId="77777777" w:rsidR="00BD53DD" w:rsidRDefault="00BD53DD" w:rsidP="00BD53DD">
      <w:pPr>
        <w:spacing w:after="0" w:line="360" w:lineRule="auto"/>
        <w:rPr>
          <w:rFonts w:ascii="Arial" w:hAnsi="Arial" w:cs="Arial"/>
          <w:b/>
          <w:sz w:val="28"/>
          <w:szCs w:val="28"/>
          <w:u w:val="single"/>
        </w:rPr>
      </w:pPr>
    </w:p>
    <w:p w14:paraId="7B38A32B" w14:textId="77777777" w:rsidR="00B4624F" w:rsidRDefault="00B4624F" w:rsidP="00BD53DD">
      <w:pPr>
        <w:rPr>
          <w:rFonts w:ascii="Arial" w:eastAsia="Calibri" w:hAnsi="Arial" w:cs="Arial"/>
          <w:sz w:val="24"/>
          <w:szCs w:val="24"/>
        </w:rPr>
        <w:sectPr w:rsidR="00B4624F" w:rsidSect="00311A7D">
          <w:footerReference w:type="default" r:id="rId22"/>
          <w:headerReference w:type="first" r:id="rId23"/>
          <w:footerReference w:type="first" r:id="rId24"/>
          <w:pgSz w:w="11906" w:h="16838"/>
          <w:pgMar w:top="1417" w:right="1417" w:bottom="1417" w:left="1417" w:header="708" w:footer="708" w:gutter="0"/>
          <w:cols w:space="708"/>
          <w:titlePg/>
          <w:docGrid w:linePitch="360"/>
        </w:sectPr>
      </w:pPr>
    </w:p>
    <w:p w14:paraId="5011F17C" w14:textId="3F92670D" w:rsidR="00B4624F" w:rsidRPr="00E958D7" w:rsidRDefault="00B4624F" w:rsidP="00B4624F">
      <w:pPr>
        <w:spacing w:after="0" w:line="360" w:lineRule="auto"/>
        <w:jc w:val="center"/>
        <w:rPr>
          <w:rFonts w:ascii="Arial" w:hAnsi="Arial" w:cs="Arial"/>
          <w:b/>
        </w:rPr>
      </w:pPr>
      <w:r>
        <w:rPr>
          <w:rFonts w:ascii="Arial" w:hAnsi="Arial" w:cs="Arial"/>
        </w:rPr>
        <w:lastRenderedPageBreak/>
        <w:t xml:space="preserve">Tableau 2 </w:t>
      </w:r>
      <w:r w:rsidRPr="009B1AD1">
        <w:rPr>
          <w:rFonts w:ascii="Arial" w:hAnsi="Arial" w:cs="Arial"/>
        </w:rPr>
        <w:t>–</w:t>
      </w:r>
      <w:r>
        <w:rPr>
          <w:rFonts w:ascii="Arial" w:hAnsi="Arial" w:cs="Arial"/>
        </w:rPr>
        <w:t xml:space="preserve"> </w:t>
      </w:r>
      <w:r w:rsidRPr="00E958D7">
        <w:rPr>
          <w:rFonts w:ascii="Arial" w:hAnsi="Arial" w:cs="Arial"/>
          <w:b/>
        </w:rPr>
        <w:t>Synthèse des prévisions</w:t>
      </w:r>
      <w:r w:rsidRPr="007A0E46">
        <w:rPr>
          <w:rFonts w:ascii="Arial" w:hAnsi="Arial" w:cs="Arial"/>
          <w:b/>
        </w:rPr>
        <w:t xml:space="preserve"> </w:t>
      </w:r>
      <w:r w:rsidR="003D1372" w:rsidRPr="003D1372">
        <w:rPr>
          <w:rFonts w:ascii="Arial" w:hAnsi="Arial" w:cs="Arial"/>
          <w:b/>
          <w:noProof/>
        </w:rPr>
        <w:drawing>
          <wp:inline distT="0" distB="0" distL="0" distR="0" wp14:anchorId="7CC5FA97" wp14:editId="2781E8F7">
            <wp:extent cx="8460000" cy="5279768"/>
            <wp:effectExtent l="0" t="0" r="0" b="0"/>
            <wp:docPr id="1477148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60000" cy="5279768"/>
                    </a:xfrm>
                    <a:prstGeom prst="rect">
                      <a:avLst/>
                    </a:prstGeom>
                    <a:noFill/>
                    <a:ln>
                      <a:noFill/>
                    </a:ln>
                  </pic:spPr>
                </pic:pic>
              </a:graphicData>
            </a:graphic>
          </wp:inline>
        </w:drawing>
      </w:r>
    </w:p>
    <w:p w14:paraId="4FE10D7F" w14:textId="1356E6C8" w:rsidR="00D07445" w:rsidRDefault="00B4624F" w:rsidP="00B4624F">
      <w:pPr>
        <w:spacing w:after="0" w:line="360" w:lineRule="auto"/>
        <w:jc w:val="center"/>
        <w:rPr>
          <w:rFonts w:ascii="Arial" w:eastAsia="Calibri" w:hAnsi="Arial" w:cs="Arial"/>
          <w:sz w:val="24"/>
          <w:szCs w:val="24"/>
        </w:rPr>
      </w:pPr>
      <w:r w:rsidRPr="00FF418C">
        <w:rPr>
          <w:rFonts w:ascii="Arial" w:hAnsi="Arial" w:cs="Arial"/>
          <w:i/>
          <w:sz w:val="20"/>
          <w:szCs w:val="20"/>
        </w:rPr>
        <w:t>Sources : M</w:t>
      </w:r>
      <w:r>
        <w:rPr>
          <w:rFonts w:ascii="Arial" w:hAnsi="Arial" w:cs="Arial"/>
          <w:i/>
          <w:sz w:val="20"/>
          <w:szCs w:val="20"/>
        </w:rPr>
        <w:t>TECT</w:t>
      </w:r>
      <w:r w:rsidRPr="00FF418C">
        <w:rPr>
          <w:rFonts w:ascii="Arial" w:hAnsi="Arial" w:cs="Arial"/>
          <w:i/>
          <w:sz w:val="20"/>
          <w:szCs w:val="20"/>
        </w:rPr>
        <w:t>/CGDD/S</w:t>
      </w:r>
      <w:r>
        <w:rPr>
          <w:rFonts w:ascii="Arial" w:hAnsi="Arial" w:cs="Arial"/>
          <w:i/>
          <w:sz w:val="20"/>
          <w:szCs w:val="20"/>
        </w:rPr>
        <w:t>DE</w:t>
      </w:r>
      <w:r w:rsidRPr="00FF418C">
        <w:rPr>
          <w:rFonts w:ascii="Arial" w:hAnsi="Arial" w:cs="Arial"/>
          <w:i/>
          <w:sz w:val="20"/>
          <w:szCs w:val="20"/>
        </w:rPr>
        <w:t>S, Sit@del2</w:t>
      </w:r>
      <w:r>
        <w:rPr>
          <w:rFonts w:ascii="Arial" w:hAnsi="Arial" w:cs="Arial"/>
          <w:i/>
          <w:sz w:val="20"/>
          <w:szCs w:val="20"/>
        </w:rPr>
        <w:t xml:space="preserve"> et Réseau des </w:t>
      </w:r>
      <w:proofErr w:type="spellStart"/>
      <w:r>
        <w:rPr>
          <w:rFonts w:ascii="Arial" w:hAnsi="Arial" w:cs="Arial"/>
          <w:i/>
          <w:sz w:val="20"/>
          <w:szCs w:val="20"/>
        </w:rPr>
        <w:t>C</w:t>
      </w:r>
      <w:r w:rsidR="00BC4413">
        <w:rPr>
          <w:rFonts w:ascii="Arial" w:hAnsi="Arial" w:cs="Arial"/>
          <w:i/>
          <w:sz w:val="20"/>
          <w:szCs w:val="20"/>
        </w:rPr>
        <w:t>erc</w:t>
      </w:r>
      <w:proofErr w:type="spellEnd"/>
      <w:r>
        <w:rPr>
          <w:rFonts w:ascii="Arial" w:hAnsi="Arial" w:cs="Arial"/>
          <w:i/>
          <w:sz w:val="20"/>
          <w:szCs w:val="20"/>
        </w:rPr>
        <w:t xml:space="preserve"> </w:t>
      </w:r>
      <w:r w:rsidRPr="00FF418C">
        <w:rPr>
          <w:rFonts w:ascii="Arial" w:hAnsi="Arial" w:cs="Arial"/>
          <w:i/>
          <w:sz w:val="20"/>
          <w:szCs w:val="20"/>
        </w:rPr>
        <w:t>(acquis)</w:t>
      </w:r>
      <w:r>
        <w:rPr>
          <w:rFonts w:ascii="Arial" w:hAnsi="Arial" w:cs="Arial"/>
          <w:i/>
          <w:sz w:val="20"/>
          <w:szCs w:val="20"/>
        </w:rPr>
        <w:t xml:space="preserve"> ; </w:t>
      </w:r>
      <w:r w:rsidRPr="00FF418C">
        <w:rPr>
          <w:rFonts w:ascii="Arial" w:hAnsi="Arial" w:cs="Arial"/>
          <w:i/>
          <w:sz w:val="20"/>
          <w:szCs w:val="20"/>
        </w:rPr>
        <w:t>FFB (estimations et</w:t>
      </w:r>
      <w:r>
        <w:rPr>
          <w:rFonts w:ascii="Arial" w:hAnsi="Arial" w:cs="Arial"/>
          <w:i/>
          <w:sz w:val="20"/>
          <w:szCs w:val="20"/>
        </w:rPr>
        <w:t xml:space="preserve"> </w:t>
      </w:r>
      <w:r w:rsidRPr="00FF418C">
        <w:rPr>
          <w:rFonts w:ascii="Arial" w:hAnsi="Arial" w:cs="Arial"/>
          <w:i/>
          <w:sz w:val="20"/>
          <w:szCs w:val="20"/>
        </w:rPr>
        <w:t>prévisions)</w:t>
      </w:r>
    </w:p>
    <w:sectPr w:rsidR="00D07445" w:rsidSect="00B4624F">
      <w:footerReference w:type="even" r:id="rId26"/>
      <w:footerReference w:type="default" r:id="rId27"/>
      <w:headerReference w:type="first" r:id="rId28"/>
      <w:footerReference w:type="first" r:id="rId2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086A" w14:textId="77777777" w:rsidR="00580D1F" w:rsidRDefault="00580D1F" w:rsidP="005C55E7">
      <w:pPr>
        <w:spacing w:after="0" w:line="240" w:lineRule="auto"/>
      </w:pPr>
      <w:r>
        <w:separator/>
      </w:r>
    </w:p>
  </w:endnote>
  <w:endnote w:type="continuationSeparator" w:id="0">
    <w:p w14:paraId="30B61D5F" w14:textId="77777777" w:rsidR="00580D1F" w:rsidRDefault="00580D1F" w:rsidP="005C55E7">
      <w:pPr>
        <w:spacing w:after="0" w:line="240" w:lineRule="auto"/>
      </w:pPr>
      <w:r>
        <w:continuationSeparator/>
      </w:r>
    </w:p>
  </w:endnote>
  <w:endnote w:type="continuationNotice" w:id="1">
    <w:p w14:paraId="4CE62506" w14:textId="77777777" w:rsidR="00580D1F" w:rsidRDefault="00580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4FD4" w14:textId="5B9882DB" w:rsidR="006F65E6" w:rsidRPr="006F65E6" w:rsidRDefault="006F65E6" w:rsidP="006F65E6">
    <w:pPr>
      <w:pStyle w:val="Pieddepage"/>
      <w:jc w:val="center"/>
      <w:rPr>
        <w:rFonts w:ascii="Arial" w:hAnsi="Arial" w:cs="Arial"/>
      </w:rPr>
    </w:pPr>
    <w:r w:rsidRPr="006F65E6">
      <w:rPr>
        <w:rFonts w:ascii="Arial" w:hAnsi="Arial" w:cs="Arial"/>
        <w:bCs/>
      </w:rPr>
      <w:fldChar w:fldCharType="begin"/>
    </w:r>
    <w:r w:rsidRPr="006F65E6">
      <w:rPr>
        <w:rFonts w:ascii="Arial" w:hAnsi="Arial" w:cs="Arial"/>
        <w:bCs/>
      </w:rPr>
      <w:instrText>PAGE  \* Arabic  \* MERGEFORMAT</w:instrText>
    </w:r>
    <w:r w:rsidRPr="006F65E6">
      <w:rPr>
        <w:rFonts w:ascii="Arial" w:hAnsi="Arial" w:cs="Arial"/>
        <w:bCs/>
      </w:rPr>
      <w:fldChar w:fldCharType="separate"/>
    </w:r>
    <w:r>
      <w:rPr>
        <w:rFonts w:ascii="Arial" w:hAnsi="Arial" w:cs="Arial"/>
        <w:bCs/>
        <w:noProof/>
      </w:rPr>
      <w:t>2</w:t>
    </w:r>
    <w:r w:rsidRPr="006F65E6">
      <w:rPr>
        <w:rFonts w:ascii="Arial" w:hAnsi="Arial" w:cs="Arial"/>
        <w:bCs/>
      </w:rPr>
      <w:fldChar w:fldCharType="end"/>
    </w:r>
    <w:r w:rsidRPr="006F65E6">
      <w:rPr>
        <w:rFonts w:ascii="Arial" w:hAnsi="Arial" w:cs="Arial"/>
        <w:bCs/>
      </w:rPr>
      <w:t>/</w:t>
    </w:r>
    <w:r w:rsidRPr="006F65E6">
      <w:rPr>
        <w:rFonts w:ascii="Arial" w:hAnsi="Arial" w:cs="Arial"/>
        <w:bCs/>
      </w:rPr>
      <w:fldChar w:fldCharType="begin"/>
    </w:r>
    <w:r w:rsidRPr="006F65E6">
      <w:rPr>
        <w:rFonts w:ascii="Arial" w:hAnsi="Arial" w:cs="Arial"/>
        <w:bCs/>
      </w:rPr>
      <w:instrText>NUMPAGES  \* Arabic  \* MERGEFORMAT</w:instrText>
    </w:r>
    <w:r w:rsidRPr="006F65E6">
      <w:rPr>
        <w:rFonts w:ascii="Arial" w:hAnsi="Arial" w:cs="Arial"/>
        <w:bCs/>
      </w:rPr>
      <w:fldChar w:fldCharType="separate"/>
    </w:r>
    <w:r>
      <w:rPr>
        <w:rFonts w:ascii="Arial" w:hAnsi="Arial" w:cs="Arial"/>
        <w:bCs/>
        <w:noProof/>
      </w:rPr>
      <w:t>20</w:t>
    </w:r>
    <w:r w:rsidRPr="006F65E6">
      <w:rPr>
        <w:rFonts w:ascii="Arial" w:hAnsi="Arial"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7791"/>
    </w:tblGrid>
    <w:tr w:rsidR="00311A7D" w:rsidRPr="00FF2A70" w14:paraId="0DDAD2EC" w14:textId="77777777" w:rsidTr="00E02D28">
      <w:tc>
        <w:tcPr>
          <w:tcW w:w="999" w:type="dxa"/>
        </w:tcPr>
        <w:p w14:paraId="4B029B02" w14:textId="6CA39BAF" w:rsidR="00311A7D" w:rsidRPr="00FF2A70" w:rsidRDefault="00311A7D" w:rsidP="00311A7D">
          <w:pPr>
            <w:rPr>
              <w:rFonts w:ascii="Calibri" w:eastAsia="Calibri" w:hAnsi="Calibri" w:cs="Times New Roman"/>
            </w:rPr>
          </w:pPr>
          <w:r w:rsidRPr="00FF2A70">
            <w:rPr>
              <w:rFonts w:ascii="System" w:eastAsia="Calibri" w:hAnsi="System" w:cs="Arial"/>
              <w:b/>
              <w:noProof/>
              <w:lang w:eastAsia="fr-FR"/>
            </w:rPr>
            <w:drawing>
              <wp:inline distT="0" distB="0" distL="0" distR="0" wp14:anchorId="1EDA6A7F" wp14:editId="3C345DE8">
                <wp:extent cx="497713" cy="468000"/>
                <wp:effectExtent l="0" t="0" r="0" b="8255"/>
                <wp:docPr id="59" name="Image 59"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Afaq_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713" cy="468000"/>
                        </a:xfrm>
                        <a:prstGeom prst="rect">
                          <a:avLst/>
                        </a:prstGeom>
                        <a:noFill/>
                        <a:ln>
                          <a:noFill/>
                        </a:ln>
                      </pic:spPr>
                    </pic:pic>
                  </a:graphicData>
                </a:graphic>
              </wp:inline>
            </w:drawing>
          </w:r>
        </w:p>
      </w:tc>
      <w:tc>
        <w:tcPr>
          <w:tcW w:w="7791" w:type="dxa"/>
        </w:tcPr>
        <w:p w14:paraId="3E018A3F" w14:textId="77777777" w:rsidR="00311A7D" w:rsidRPr="00FF2A70" w:rsidRDefault="00311A7D" w:rsidP="00311A7D">
          <w:pPr>
            <w:widowControl w:val="0"/>
            <w:overflowPunct w:val="0"/>
            <w:autoSpaceDE w:val="0"/>
            <w:autoSpaceDN w:val="0"/>
            <w:adjustRightInd w:val="0"/>
            <w:rPr>
              <w:rFonts w:ascii="Arial" w:eastAsia="Times New Roman" w:hAnsi="Arial" w:cs="Times New Roman"/>
              <w:b/>
              <w:sz w:val="16"/>
              <w:szCs w:val="16"/>
              <w:lang w:eastAsia="fr-FR"/>
            </w:rPr>
          </w:pPr>
          <w:r w:rsidRPr="00FF2A70">
            <w:rPr>
              <w:rFonts w:ascii="Arial" w:eastAsia="Times New Roman" w:hAnsi="Arial" w:cs="Times New Roman"/>
              <w:b/>
              <w:sz w:val="16"/>
              <w:szCs w:val="16"/>
              <w:lang w:eastAsia="fr-FR"/>
            </w:rPr>
            <w:t>FEDERATION FRANCAISE DU BATIMENT</w:t>
          </w:r>
        </w:p>
        <w:p w14:paraId="5C2169A7" w14:textId="77777777" w:rsidR="00311A7D" w:rsidRPr="00FF2A70" w:rsidRDefault="00311A7D" w:rsidP="00311A7D">
          <w:pPr>
            <w:widowControl w:val="0"/>
            <w:overflowPunct w:val="0"/>
            <w:autoSpaceDE w:val="0"/>
            <w:autoSpaceDN w:val="0"/>
            <w:adjustRightInd w:val="0"/>
            <w:rPr>
              <w:rFonts w:ascii="Arial" w:eastAsia="Times New Roman" w:hAnsi="Arial" w:cs="Times New Roman"/>
              <w:b/>
              <w:sz w:val="16"/>
              <w:szCs w:val="16"/>
              <w:lang w:eastAsia="fr-FR"/>
            </w:rPr>
          </w:pPr>
          <w:r w:rsidRPr="00FF2A70">
            <w:rPr>
              <w:rFonts w:ascii="Arial" w:eastAsia="Times New Roman" w:hAnsi="Arial" w:cs="Times New Roman"/>
              <w:b/>
              <w:sz w:val="16"/>
              <w:szCs w:val="16"/>
              <w:lang w:eastAsia="fr-FR"/>
            </w:rPr>
            <w:t>33 avenue Kléber</w:t>
          </w:r>
        </w:p>
        <w:p w14:paraId="08DF128C" w14:textId="77777777" w:rsidR="00311A7D" w:rsidRPr="00FF2A70" w:rsidRDefault="00311A7D" w:rsidP="00311A7D">
          <w:pPr>
            <w:widowControl w:val="0"/>
            <w:overflowPunct w:val="0"/>
            <w:autoSpaceDE w:val="0"/>
            <w:autoSpaceDN w:val="0"/>
            <w:adjustRightInd w:val="0"/>
            <w:rPr>
              <w:rFonts w:ascii="Arial" w:eastAsia="Times New Roman" w:hAnsi="Arial" w:cs="Times New Roman"/>
              <w:b/>
              <w:sz w:val="16"/>
              <w:szCs w:val="16"/>
              <w:lang w:eastAsia="fr-FR"/>
            </w:rPr>
          </w:pPr>
          <w:r w:rsidRPr="00FF2A70">
            <w:rPr>
              <w:rFonts w:ascii="Arial" w:eastAsia="Times New Roman" w:hAnsi="Arial" w:cs="Times New Roman"/>
              <w:b/>
              <w:sz w:val="16"/>
              <w:szCs w:val="16"/>
              <w:lang w:eastAsia="fr-FR"/>
            </w:rPr>
            <w:t>75784 PARIS Cedex 16</w:t>
          </w:r>
        </w:p>
        <w:p w14:paraId="70D74765" w14:textId="77777777" w:rsidR="00311A7D" w:rsidRPr="00FF2A70" w:rsidRDefault="00311A7D" w:rsidP="00311A7D">
          <w:pPr>
            <w:rPr>
              <w:rFonts w:ascii="Calibri" w:eastAsia="Calibri" w:hAnsi="Calibri" w:cs="Times New Roman"/>
            </w:rPr>
          </w:pPr>
          <w:r w:rsidRPr="00FF2A70">
            <w:rPr>
              <w:rFonts w:ascii="Arial" w:eastAsia="Times New Roman" w:hAnsi="Arial" w:cs="Times New Roman"/>
              <w:b/>
              <w:sz w:val="16"/>
              <w:szCs w:val="16"/>
              <w:lang w:eastAsia="fr-FR"/>
            </w:rPr>
            <w:t>Téléphone : 01 40 69 51 00 – Télécopie : 01 45 53 58 77</w:t>
          </w:r>
        </w:p>
      </w:tc>
    </w:tr>
  </w:tbl>
  <w:p w14:paraId="56E1C219" w14:textId="44CE0C2E" w:rsidR="00873ABE" w:rsidRPr="00873ABE" w:rsidRDefault="00873ABE" w:rsidP="006F65E6">
    <w:pPr>
      <w:pStyle w:val="Pieddepag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1258" w14:textId="144315AF" w:rsidR="00F21F26" w:rsidRDefault="00F21F2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4A78" w14:textId="1833BF6A" w:rsidR="00F21F26" w:rsidRDefault="00F21F2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A28" w14:textId="0A55CA04" w:rsidR="00311A7D" w:rsidRPr="00311A7D" w:rsidRDefault="00311A7D" w:rsidP="00311A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C0EB" w14:textId="77777777" w:rsidR="00580D1F" w:rsidRDefault="00580D1F" w:rsidP="005C55E7">
      <w:pPr>
        <w:spacing w:after="0" w:line="240" w:lineRule="auto"/>
      </w:pPr>
      <w:r>
        <w:separator/>
      </w:r>
    </w:p>
  </w:footnote>
  <w:footnote w:type="continuationSeparator" w:id="0">
    <w:p w14:paraId="3ACD5F07" w14:textId="77777777" w:rsidR="00580D1F" w:rsidRDefault="00580D1F" w:rsidP="005C55E7">
      <w:pPr>
        <w:spacing w:after="0" w:line="240" w:lineRule="auto"/>
      </w:pPr>
      <w:r>
        <w:continuationSeparator/>
      </w:r>
    </w:p>
  </w:footnote>
  <w:footnote w:type="continuationNotice" w:id="1">
    <w:p w14:paraId="29B1B1A8" w14:textId="77777777" w:rsidR="00580D1F" w:rsidRDefault="00580D1F">
      <w:pPr>
        <w:spacing w:after="0" w:line="240" w:lineRule="auto"/>
      </w:pPr>
    </w:p>
  </w:footnote>
  <w:footnote w:id="2">
    <w:p w14:paraId="195EE74E" w14:textId="7B91B500" w:rsidR="000E78A1" w:rsidRPr="000E78A1" w:rsidRDefault="000E78A1" w:rsidP="000E78A1">
      <w:pPr>
        <w:pStyle w:val="Notedebasdepage"/>
        <w:ind w:left="284" w:hanging="284"/>
        <w:jc w:val="both"/>
        <w:rPr>
          <w:rFonts w:ascii="Arial" w:hAnsi="Arial" w:cs="Arial"/>
        </w:rPr>
      </w:pPr>
      <w:r w:rsidRPr="000E78A1">
        <w:rPr>
          <w:rStyle w:val="Appelnotedebasdep"/>
          <w:rFonts w:ascii="Arial" w:hAnsi="Arial" w:cs="Arial"/>
        </w:rPr>
        <w:footnoteRef/>
      </w:r>
      <w:r w:rsidRPr="000E78A1">
        <w:rPr>
          <w:rFonts w:ascii="Arial" w:hAnsi="Arial" w:cs="Arial"/>
        </w:rPr>
        <w:tab/>
        <w:t>Taux d’effort maximum de 35 % pour le ménage et durée d’endettement limitée à 25 ans (ou 27 ans en VEFA).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8DB4" w14:textId="43BB1343" w:rsidR="00311A7D" w:rsidRPr="00FF2A70" w:rsidRDefault="00311A7D" w:rsidP="00311A7D">
    <w:pPr>
      <w:tabs>
        <w:tab w:val="center" w:pos="4536"/>
        <w:tab w:val="right" w:pos="8647"/>
      </w:tabs>
      <w:spacing w:after="0" w:line="240" w:lineRule="auto"/>
      <w:jc w:val="both"/>
      <w:rPr>
        <w:rFonts w:ascii="Calibri" w:eastAsia="Calibri" w:hAnsi="Calibri" w:cs="Times New Roman"/>
      </w:rPr>
    </w:pPr>
    <w:r w:rsidRPr="00FF2A70">
      <w:rPr>
        <w:rFonts w:ascii="Calibri" w:eastAsia="Calibri" w:hAnsi="Calibri" w:cs="Arial"/>
        <w:noProof/>
        <w:lang w:eastAsia="fr-FR"/>
      </w:rPr>
      <w:drawing>
        <wp:inline distT="0" distB="0" distL="0" distR="0" wp14:anchorId="408D17C5" wp14:editId="7FD5B130">
          <wp:extent cx="1541360" cy="648000"/>
          <wp:effectExtent l="0" t="0" r="1905" b="0"/>
          <wp:docPr id="58" name="Image 58" descr="logo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ff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360" cy="648000"/>
                  </a:xfrm>
                  <a:prstGeom prst="rect">
                    <a:avLst/>
                  </a:prstGeom>
                  <a:noFill/>
                  <a:ln>
                    <a:noFill/>
                  </a:ln>
                </pic:spPr>
              </pic:pic>
            </a:graphicData>
          </a:graphic>
        </wp:inline>
      </w:drawing>
    </w:r>
    <w:r>
      <w:rPr>
        <w:rFonts w:ascii="Arial" w:eastAsia="Times New Roman" w:hAnsi="Arial" w:cs="Arial"/>
        <w:lang w:eastAsia="fr-FR"/>
      </w:rPr>
      <w:tab/>
    </w:r>
    <w:r>
      <w:rPr>
        <w:rFonts w:ascii="Arial" w:eastAsia="Times New Roman" w:hAnsi="Arial" w:cs="Arial"/>
        <w:lang w:eastAsia="fr-FR"/>
      </w:rPr>
      <w:tab/>
    </w:r>
    <w:r w:rsidRPr="00FF2A70">
      <w:rPr>
        <w:rFonts w:ascii="Arial" w:eastAsia="Times New Roman" w:hAnsi="Arial" w:cs="Arial"/>
        <w:lang w:eastAsia="fr-FR"/>
      </w:rPr>
      <w:t xml:space="preserve">Paris, </w:t>
    </w:r>
    <w:r>
      <w:rPr>
        <w:rFonts w:ascii="Arial" w:eastAsia="Times New Roman" w:hAnsi="Arial" w:cs="Arial"/>
        <w:lang w:eastAsia="fr-FR"/>
      </w:rPr>
      <w:t xml:space="preserve">13 décembre </w:t>
    </w:r>
    <w:r w:rsidRPr="00FF2A70">
      <w:rPr>
        <w:rFonts w:ascii="Arial" w:eastAsia="Times New Roman" w:hAnsi="Arial" w:cs="Arial"/>
        <w:lang w:eastAsia="fr-FR"/>
      </w:rPr>
      <w:t>20</w:t>
    </w:r>
    <w:r>
      <w:rPr>
        <w:rFonts w:ascii="Arial" w:eastAsia="Times New Roman" w:hAnsi="Arial" w:cs="Arial"/>
        <w:lang w:eastAsia="fr-FR"/>
      </w:rPr>
      <w:t>2</w:t>
    </w:r>
    <w:r w:rsidR="007E22F4">
      <w:rPr>
        <w:rFonts w:ascii="Arial" w:eastAsia="Times New Roman" w:hAnsi="Arial" w:cs="Arial"/>
        <w:lang w:eastAsia="fr-FR"/>
      </w:rPr>
      <w:t>3</w:t>
    </w:r>
  </w:p>
  <w:p w14:paraId="27F4A3E4" w14:textId="5468629F" w:rsidR="00B4624F" w:rsidRDefault="00B462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69D1" w14:textId="4740F1EA" w:rsidR="00311A7D" w:rsidRDefault="00311A7D" w:rsidP="00311A7D">
    <w:pPr>
      <w:tabs>
        <w:tab w:val="center" w:pos="4536"/>
        <w:tab w:val="right" w:pos="8647"/>
      </w:tabs>
      <w:spacing w:after="0" w:line="240" w:lineRule="auto"/>
      <w:jc w:val="both"/>
    </w:pP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4pt;height:89.4pt" o:bullet="t">
        <v:imagedata r:id="rId1" o:title="art5E8E"/>
      </v:shape>
    </w:pict>
  </w:numPicBullet>
  <w:numPicBullet w:numPicBulletId="1">
    <w:pict>
      <v:shape id="_x0000_i1027" type="#_x0000_t75" style="width:1in;height:95.4pt" o:bullet="t">
        <v:imagedata r:id="rId2" o:title="art42AD"/>
      </v:shape>
    </w:pict>
  </w:numPicBullet>
  <w:abstractNum w:abstractNumId="0" w15:restartNumberingAfterBreak="0">
    <w:nsid w:val="023A0E0A"/>
    <w:multiLevelType w:val="hybridMultilevel"/>
    <w:tmpl w:val="69D6BEE0"/>
    <w:lvl w:ilvl="0" w:tplc="E51A987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65136"/>
    <w:multiLevelType w:val="hybridMultilevel"/>
    <w:tmpl w:val="8F08A2E2"/>
    <w:lvl w:ilvl="0" w:tplc="5BB45C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B34E0"/>
    <w:multiLevelType w:val="hybridMultilevel"/>
    <w:tmpl w:val="627EE82A"/>
    <w:lvl w:ilvl="0" w:tplc="057EF92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352B2"/>
    <w:multiLevelType w:val="hybridMultilevel"/>
    <w:tmpl w:val="6F8E27C4"/>
    <w:lvl w:ilvl="0" w:tplc="F168E93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91EDF"/>
    <w:multiLevelType w:val="hybridMultilevel"/>
    <w:tmpl w:val="1F94EF1A"/>
    <w:lvl w:ilvl="0" w:tplc="4400241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0E853C8E"/>
    <w:multiLevelType w:val="hybridMultilevel"/>
    <w:tmpl w:val="C7DE0544"/>
    <w:lvl w:ilvl="0" w:tplc="F168E93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D2AB4"/>
    <w:multiLevelType w:val="hybridMultilevel"/>
    <w:tmpl w:val="C7A20F9C"/>
    <w:lvl w:ilvl="0" w:tplc="4E7C72F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A3216"/>
    <w:multiLevelType w:val="hybridMultilevel"/>
    <w:tmpl w:val="93CC9CE8"/>
    <w:lvl w:ilvl="0" w:tplc="CB0055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7F21C0"/>
    <w:multiLevelType w:val="hybridMultilevel"/>
    <w:tmpl w:val="ECD2C416"/>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096C63"/>
    <w:multiLevelType w:val="hybridMultilevel"/>
    <w:tmpl w:val="2BC4670C"/>
    <w:lvl w:ilvl="0" w:tplc="956AA6A8">
      <w:start w:val="1"/>
      <w:numFmt w:val="upperRoman"/>
      <w:lvlText w:val="%1."/>
      <w:lvlJc w:val="righ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47123A"/>
    <w:multiLevelType w:val="hybridMultilevel"/>
    <w:tmpl w:val="4134E188"/>
    <w:lvl w:ilvl="0" w:tplc="F124B844">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048B1"/>
    <w:multiLevelType w:val="hybridMultilevel"/>
    <w:tmpl w:val="850ED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4D106C"/>
    <w:multiLevelType w:val="hybridMultilevel"/>
    <w:tmpl w:val="00B0B438"/>
    <w:lvl w:ilvl="0" w:tplc="A40027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464575"/>
    <w:multiLevelType w:val="hybridMultilevel"/>
    <w:tmpl w:val="EEB889AA"/>
    <w:lvl w:ilvl="0" w:tplc="AFC6E7A0">
      <w:start w:val="2"/>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0C416D"/>
    <w:multiLevelType w:val="hybridMultilevel"/>
    <w:tmpl w:val="2CB8FD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738FC"/>
    <w:multiLevelType w:val="hybridMultilevel"/>
    <w:tmpl w:val="C68A23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262A56D9"/>
    <w:multiLevelType w:val="hybridMultilevel"/>
    <w:tmpl w:val="131469B4"/>
    <w:lvl w:ilvl="0" w:tplc="4E7C72F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1F69DE"/>
    <w:multiLevelType w:val="hybridMultilevel"/>
    <w:tmpl w:val="9086DDB6"/>
    <w:lvl w:ilvl="0" w:tplc="06BCA52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B4333A"/>
    <w:multiLevelType w:val="hybridMultilevel"/>
    <w:tmpl w:val="F1086FC6"/>
    <w:lvl w:ilvl="0" w:tplc="72F6E4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14C07"/>
    <w:multiLevelType w:val="hybridMultilevel"/>
    <w:tmpl w:val="B010D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6E7DEB"/>
    <w:multiLevelType w:val="hybridMultilevel"/>
    <w:tmpl w:val="DB7A796C"/>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DB32D1"/>
    <w:multiLevelType w:val="hybridMultilevel"/>
    <w:tmpl w:val="DD9ADE7C"/>
    <w:lvl w:ilvl="0" w:tplc="1246655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4C717F"/>
    <w:multiLevelType w:val="hybridMultilevel"/>
    <w:tmpl w:val="95AED9BC"/>
    <w:lvl w:ilvl="0" w:tplc="C12E89C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EA0307"/>
    <w:multiLevelType w:val="hybridMultilevel"/>
    <w:tmpl w:val="5A780352"/>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474376"/>
    <w:multiLevelType w:val="hybridMultilevel"/>
    <w:tmpl w:val="AF7A51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E713F0"/>
    <w:multiLevelType w:val="hybridMultilevel"/>
    <w:tmpl w:val="0874CD56"/>
    <w:lvl w:ilvl="0" w:tplc="0FE6472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A419F2"/>
    <w:multiLevelType w:val="hybridMultilevel"/>
    <w:tmpl w:val="0CA2EB2E"/>
    <w:lvl w:ilvl="0" w:tplc="F124B844">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125666"/>
    <w:multiLevelType w:val="hybridMultilevel"/>
    <w:tmpl w:val="F5C410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0C610F"/>
    <w:multiLevelType w:val="hybridMultilevel"/>
    <w:tmpl w:val="7EA60440"/>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0669E0"/>
    <w:multiLevelType w:val="hybridMultilevel"/>
    <w:tmpl w:val="C322AB92"/>
    <w:lvl w:ilvl="0" w:tplc="06BCA522">
      <w:numFmt w:val="bullet"/>
      <w:lvlText w:val="-"/>
      <w:lvlJc w:val="left"/>
      <w:pPr>
        <w:ind w:left="780" w:hanging="360"/>
      </w:pPr>
      <w:rPr>
        <w:rFonts w:ascii="Arial" w:eastAsia="Calibri"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60A1456B"/>
    <w:multiLevelType w:val="hybridMultilevel"/>
    <w:tmpl w:val="9FBEAC0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178120E"/>
    <w:multiLevelType w:val="hybridMultilevel"/>
    <w:tmpl w:val="B1602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CD4A99"/>
    <w:multiLevelType w:val="hybridMultilevel"/>
    <w:tmpl w:val="8D8EFC2C"/>
    <w:lvl w:ilvl="0" w:tplc="63947C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44179F"/>
    <w:multiLevelType w:val="hybridMultilevel"/>
    <w:tmpl w:val="CD1667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406A37"/>
    <w:multiLevelType w:val="hybridMultilevel"/>
    <w:tmpl w:val="2188B1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7C1091"/>
    <w:multiLevelType w:val="hybridMultilevel"/>
    <w:tmpl w:val="64BAC2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9B2016"/>
    <w:multiLevelType w:val="hybridMultilevel"/>
    <w:tmpl w:val="40B4C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8332E0"/>
    <w:multiLevelType w:val="hybridMultilevel"/>
    <w:tmpl w:val="E646C656"/>
    <w:lvl w:ilvl="0" w:tplc="58A4F88A">
      <w:start w:val="1"/>
      <w:numFmt w:val="bullet"/>
      <w:lvlText w:val=""/>
      <w:lvlPicBulletId w:val="1"/>
      <w:lvlJc w:val="left"/>
      <w:pPr>
        <w:tabs>
          <w:tab w:val="num" w:pos="720"/>
        </w:tabs>
        <w:ind w:left="720" w:hanging="360"/>
      </w:pPr>
      <w:rPr>
        <w:rFonts w:ascii="Symbol" w:hAnsi="Symbol" w:hint="default"/>
      </w:rPr>
    </w:lvl>
    <w:lvl w:ilvl="1" w:tplc="7C7410BE" w:tentative="1">
      <w:start w:val="1"/>
      <w:numFmt w:val="bullet"/>
      <w:lvlText w:val=""/>
      <w:lvlPicBulletId w:val="1"/>
      <w:lvlJc w:val="left"/>
      <w:pPr>
        <w:tabs>
          <w:tab w:val="num" w:pos="1440"/>
        </w:tabs>
        <w:ind w:left="1440" w:hanging="360"/>
      </w:pPr>
      <w:rPr>
        <w:rFonts w:ascii="Symbol" w:hAnsi="Symbol" w:hint="default"/>
      </w:rPr>
    </w:lvl>
    <w:lvl w:ilvl="2" w:tplc="C32E74E8" w:tentative="1">
      <w:start w:val="1"/>
      <w:numFmt w:val="bullet"/>
      <w:lvlText w:val=""/>
      <w:lvlPicBulletId w:val="1"/>
      <w:lvlJc w:val="left"/>
      <w:pPr>
        <w:tabs>
          <w:tab w:val="num" w:pos="2160"/>
        </w:tabs>
        <w:ind w:left="2160" w:hanging="360"/>
      </w:pPr>
      <w:rPr>
        <w:rFonts w:ascii="Symbol" w:hAnsi="Symbol" w:hint="default"/>
      </w:rPr>
    </w:lvl>
    <w:lvl w:ilvl="3" w:tplc="894A5F32" w:tentative="1">
      <w:start w:val="1"/>
      <w:numFmt w:val="bullet"/>
      <w:lvlText w:val=""/>
      <w:lvlPicBulletId w:val="1"/>
      <w:lvlJc w:val="left"/>
      <w:pPr>
        <w:tabs>
          <w:tab w:val="num" w:pos="2880"/>
        </w:tabs>
        <w:ind w:left="2880" w:hanging="360"/>
      </w:pPr>
      <w:rPr>
        <w:rFonts w:ascii="Symbol" w:hAnsi="Symbol" w:hint="default"/>
      </w:rPr>
    </w:lvl>
    <w:lvl w:ilvl="4" w:tplc="8286B744" w:tentative="1">
      <w:start w:val="1"/>
      <w:numFmt w:val="bullet"/>
      <w:lvlText w:val=""/>
      <w:lvlPicBulletId w:val="1"/>
      <w:lvlJc w:val="left"/>
      <w:pPr>
        <w:tabs>
          <w:tab w:val="num" w:pos="3600"/>
        </w:tabs>
        <w:ind w:left="3600" w:hanging="360"/>
      </w:pPr>
      <w:rPr>
        <w:rFonts w:ascii="Symbol" w:hAnsi="Symbol" w:hint="default"/>
      </w:rPr>
    </w:lvl>
    <w:lvl w:ilvl="5" w:tplc="488C792A" w:tentative="1">
      <w:start w:val="1"/>
      <w:numFmt w:val="bullet"/>
      <w:lvlText w:val=""/>
      <w:lvlPicBulletId w:val="1"/>
      <w:lvlJc w:val="left"/>
      <w:pPr>
        <w:tabs>
          <w:tab w:val="num" w:pos="4320"/>
        </w:tabs>
        <w:ind w:left="4320" w:hanging="360"/>
      </w:pPr>
      <w:rPr>
        <w:rFonts w:ascii="Symbol" w:hAnsi="Symbol" w:hint="default"/>
      </w:rPr>
    </w:lvl>
    <w:lvl w:ilvl="6" w:tplc="E5826D2A" w:tentative="1">
      <w:start w:val="1"/>
      <w:numFmt w:val="bullet"/>
      <w:lvlText w:val=""/>
      <w:lvlPicBulletId w:val="1"/>
      <w:lvlJc w:val="left"/>
      <w:pPr>
        <w:tabs>
          <w:tab w:val="num" w:pos="5040"/>
        </w:tabs>
        <w:ind w:left="5040" w:hanging="360"/>
      </w:pPr>
      <w:rPr>
        <w:rFonts w:ascii="Symbol" w:hAnsi="Symbol" w:hint="default"/>
      </w:rPr>
    </w:lvl>
    <w:lvl w:ilvl="7" w:tplc="4AA2A144" w:tentative="1">
      <w:start w:val="1"/>
      <w:numFmt w:val="bullet"/>
      <w:lvlText w:val=""/>
      <w:lvlPicBulletId w:val="1"/>
      <w:lvlJc w:val="left"/>
      <w:pPr>
        <w:tabs>
          <w:tab w:val="num" w:pos="5760"/>
        </w:tabs>
        <w:ind w:left="5760" w:hanging="360"/>
      </w:pPr>
      <w:rPr>
        <w:rFonts w:ascii="Symbol" w:hAnsi="Symbol" w:hint="default"/>
      </w:rPr>
    </w:lvl>
    <w:lvl w:ilvl="8" w:tplc="19342C1E" w:tentative="1">
      <w:start w:val="1"/>
      <w:numFmt w:val="bullet"/>
      <w:lvlText w:val=""/>
      <w:lvlPicBulletId w:val="1"/>
      <w:lvlJc w:val="left"/>
      <w:pPr>
        <w:tabs>
          <w:tab w:val="num" w:pos="6480"/>
        </w:tabs>
        <w:ind w:left="6480" w:hanging="360"/>
      </w:pPr>
      <w:rPr>
        <w:rFonts w:ascii="Symbol" w:hAnsi="Symbol" w:hint="default"/>
      </w:rPr>
    </w:lvl>
  </w:abstractNum>
  <w:num w:numId="1" w16cid:durableId="1602033304">
    <w:abstractNumId w:val="25"/>
  </w:num>
  <w:num w:numId="2" w16cid:durableId="2125463819">
    <w:abstractNumId w:val="28"/>
  </w:num>
  <w:num w:numId="3" w16cid:durableId="294336989">
    <w:abstractNumId w:val="7"/>
  </w:num>
  <w:num w:numId="4" w16cid:durableId="412557429">
    <w:abstractNumId w:val="9"/>
  </w:num>
  <w:num w:numId="5" w16cid:durableId="1337347078">
    <w:abstractNumId w:val="33"/>
  </w:num>
  <w:num w:numId="6" w16cid:durableId="1439565170">
    <w:abstractNumId w:val="30"/>
  </w:num>
  <w:num w:numId="7" w16cid:durableId="1659573173">
    <w:abstractNumId w:val="34"/>
  </w:num>
  <w:num w:numId="8" w16cid:durableId="1255211556">
    <w:abstractNumId w:val="35"/>
  </w:num>
  <w:num w:numId="9" w16cid:durableId="782722899">
    <w:abstractNumId w:val="0"/>
  </w:num>
  <w:num w:numId="10" w16cid:durableId="414282915">
    <w:abstractNumId w:val="3"/>
  </w:num>
  <w:num w:numId="11" w16cid:durableId="17557774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784656">
    <w:abstractNumId w:val="5"/>
  </w:num>
  <w:num w:numId="13" w16cid:durableId="1013458489">
    <w:abstractNumId w:val="4"/>
  </w:num>
  <w:num w:numId="14" w16cid:durableId="1354385234">
    <w:abstractNumId w:val="19"/>
  </w:num>
  <w:num w:numId="15" w16cid:durableId="1528326865">
    <w:abstractNumId w:val="36"/>
  </w:num>
  <w:num w:numId="16" w16cid:durableId="726689447">
    <w:abstractNumId w:val="23"/>
  </w:num>
  <w:num w:numId="17" w16cid:durableId="1917669880">
    <w:abstractNumId w:val="8"/>
  </w:num>
  <w:num w:numId="18" w16cid:durableId="474032546">
    <w:abstractNumId w:val="20"/>
  </w:num>
  <w:num w:numId="19" w16cid:durableId="607007645">
    <w:abstractNumId w:val="14"/>
  </w:num>
  <w:num w:numId="20" w16cid:durableId="870722619">
    <w:abstractNumId w:val="11"/>
  </w:num>
  <w:num w:numId="21" w16cid:durableId="734353125">
    <w:abstractNumId w:val="27"/>
  </w:num>
  <w:num w:numId="22" w16cid:durableId="1018123648">
    <w:abstractNumId w:val="24"/>
  </w:num>
  <w:num w:numId="23" w16cid:durableId="470907020">
    <w:abstractNumId w:val="29"/>
  </w:num>
  <w:num w:numId="24" w16cid:durableId="1504776914">
    <w:abstractNumId w:val="1"/>
  </w:num>
  <w:num w:numId="25" w16cid:durableId="806699258">
    <w:abstractNumId w:val="13"/>
  </w:num>
  <w:num w:numId="26" w16cid:durableId="75251555">
    <w:abstractNumId w:val="17"/>
  </w:num>
  <w:num w:numId="27" w16cid:durableId="411509191">
    <w:abstractNumId w:val="2"/>
  </w:num>
  <w:num w:numId="28" w16cid:durableId="1382048307">
    <w:abstractNumId w:val="10"/>
  </w:num>
  <w:num w:numId="29" w16cid:durableId="594436428">
    <w:abstractNumId w:val="26"/>
  </w:num>
  <w:num w:numId="30" w16cid:durableId="482547228">
    <w:abstractNumId w:val="32"/>
  </w:num>
  <w:num w:numId="31" w16cid:durableId="1902594977">
    <w:abstractNumId w:val="22"/>
  </w:num>
  <w:num w:numId="32" w16cid:durableId="602880080">
    <w:abstractNumId w:val="31"/>
  </w:num>
  <w:num w:numId="33" w16cid:durableId="132599033">
    <w:abstractNumId w:val="21"/>
  </w:num>
  <w:num w:numId="34" w16cid:durableId="1769734446">
    <w:abstractNumId w:val="37"/>
  </w:num>
  <w:num w:numId="35" w16cid:durableId="1499618392">
    <w:abstractNumId w:val="16"/>
  </w:num>
  <w:num w:numId="36" w16cid:durableId="1079601524">
    <w:abstractNumId w:val="6"/>
  </w:num>
  <w:num w:numId="37" w16cid:durableId="1782069366">
    <w:abstractNumId w:val="12"/>
  </w:num>
  <w:num w:numId="38" w16cid:durableId="1096288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F7"/>
    <w:rsid w:val="0000025A"/>
    <w:rsid w:val="0000037C"/>
    <w:rsid w:val="00001B45"/>
    <w:rsid w:val="00002021"/>
    <w:rsid w:val="0000265A"/>
    <w:rsid w:val="000030AB"/>
    <w:rsid w:val="000040F1"/>
    <w:rsid w:val="00005505"/>
    <w:rsid w:val="000057C7"/>
    <w:rsid w:val="0000620B"/>
    <w:rsid w:val="0000684C"/>
    <w:rsid w:val="00006998"/>
    <w:rsid w:val="00006CEA"/>
    <w:rsid w:val="00010236"/>
    <w:rsid w:val="000107F3"/>
    <w:rsid w:val="00011758"/>
    <w:rsid w:val="000123B7"/>
    <w:rsid w:val="00013124"/>
    <w:rsid w:val="00013290"/>
    <w:rsid w:val="0001402F"/>
    <w:rsid w:val="00015378"/>
    <w:rsid w:val="00015921"/>
    <w:rsid w:val="00015A86"/>
    <w:rsid w:val="000166B2"/>
    <w:rsid w:val="00016D90"/>
    <w:rsid w:val="000179C0"/>
    <w:rsid w:val="000204A1"/>
    <w:rsid w:val="0002051F"/>
    <w:rsid w:val="00020CFE"/>
    <w:rsid w:val="000215DA"/>
    <w:rsid w:val="00021667"/>
    <w:rsid w:val="00021F7A"/>
    <w:rsid w:val="00023DFC"/>
    <w:rsid w:val="000246A9"/>
    <w:rsid w:val="00024701"/>
    <w:rsid w:val="000250F8"/>
    <w:rsid w:val="00026499"/>
    <w:rsid w:val="00027481"/>
    <w:rsid w:val="00027753"/>
    <w:rsid w:val="00027F1D"/>
    <w:rsid w:val="0003095E"/>
    <w:rsid w:val="00032375"/>
    <w:rsid w:val="000324CC"/>
    <w:rsid w:val="000336E7"/>
    <w:rsid w:val="000342A5"/>
    <w:rsid w:val="000347A8"/>
    <w:rsid w:val="00034E56"/>
    <w:rsid w:val="00036091"/>
    <w:rsid w:val="0003633C"/>
    <w:rsid w:val="0003648A"/>
    <w:rsid w:val="0003728A"/>
    <w:rsid w:val="0003734F"/>
    <w:rsid w:val="00037420"/>
    <w:rsid w:val="00037BE5"/>
    <w:rsid w:val="00037EC6"/>
    <w:rsid w:val="00037FCD"/>
    <w:rsid w:val="00040541"/>
    <w:rsid w:val="00040E05"/>
    <w:rsid w:val="000414A6"/>
    <w:rsid w:val="000420EB"/>
    <w:rsid w:val="00042E8B"/>
    <w:rsid w:val="00043416"/>
    <w:rsid w:val="00043460"/>
    <w:rsid w:val="0004385A"/>
    <w:rsid w:val="00043A1E"/>
    <w:rsid w:val="000442FC"/>
    <w:rsid w:val="000446BE"/>
    <w:rsid w:val="000457FA"/>
    <w:rsid w:val="00045AAA"/>
    <w:rsid w:val="000461C4"/>
    <w:rsid w:val="0004659F"/>
    <w:rsid w:val="00046C8F"/>
    <w:rsid w:val="00046FE4"/>
    <w:rsid w:val="000473F8"/>
    <w:rsid w:val="00047471"/>
    <w:rsid w:val="000509EF"/>
    <w:rsid w:val="00050E59"/>
    <w:rsid w:val="00050FCC"/>
    <w:rsid w:val="00051846"/>
    <w:rsid w:val="00051B72"/>
    <w:rsid w:val="000521C5"/>
    <w:rsid w:val="00052D1D"/>
    <w:rsid w:val="00052F7E"/>
    <w:rsid w:val="000534A9"/>
    <w:rsid w:val="0005366F"/>
    <w:rsid w:val="0005399C"/>
    <w:rsid w:val="00053FF1"/>
    <w:rsid w:val="00054280"/>
    <w:rsid w:val="000546AD"/>
    <w:rsid w:val="0005489A"/>
    <w:rsid w:val="00054983"/>
    <w:rsid w:val="00054C73"/>
    <w:rsid w:val="00054DBD"/>
    <w:rsid w:val="0005549B"/>
    <w:rsid w:val="00055E4A"/>
    <w:rsid w:val="00055EDD"/>
    <w:rsid w:val="000562D8"/>
    <w:rsid w:val="00056974"/>
    <w:rsid w:val="00056FB3"/>
    <w:rsid w:val="0006117A"/>
    <w:rsid w:val="0006189D"/>
    <w:rsid w:val="00061EE7"/>
    <w:rsid w:val="00061FE7"/>
    <w:rsid w:val="000626DC"/>
    <w:rsid w:val="00062E27"/>
    <w:rsid w:val="00063BA8"/>
    <w:rsid w:val="00064D54"/>
    <w:rsid w:val="00065C34"/>
    <w:rsid w:val="000661BE"/>
    <w:rsid w:val="000670B4"/>
    <w:rsid w:val="00067D9C"/>
    <w:rsid w:val="00070166"/>
    <w:rsid w:val="000704F9"/>
    <w:rsid w:val="00070C66"/>
    <w:rsid w:val="0007121E"/>
    <w:rsid w:val="00071E65"/>
    <w:rsid w:val="00072003"/>
    <w:rsid w:val="0007287A"/>
    <w:rsid w:val="00072BAA"/>
    <w:rsid w:val="0007365E"/>
    <w:rsid w:val="000739A7"/>
    <w:rsid w:val="00073E05"/>
    <w:rsid w:val="000740E4"/>
    <w:rsid w:val="00074FD3"/>
    <w:rsid w:val="0007530B"/>
    <w:rsid w:val="000762B0"/>
    <w:rsid w:val="00076B98"/>
    <w:rsid w:val="00077454"/>
    <w:rsid w:val="0007789D"/>
    <w:rsid w:val="00077F9A"/>
    <w:rsid w:val="0008014F"/>
    <w:rsid w:val="00080B83"/>
    <w:rsid w:val="00080E6C"/>
    <w:rsid w:val="00081454"/>
    <w:rsid w:val="00081EDF"/>
    <w:rsid w:val="0008288B"/>
    <w:rsid w:val="00083250"/>
    <w:rsid w:val="00083339"/>
    <w:rsid w:val="00083424"/>
    <w:rsid w:val="000836CE"/>
    <w:rsid w:val="00083BEF"/>
    <w:rsid w:val="00084D14"/>
    <w:rsid w:val="00085954"/>
    <w:rsid w:val="00085CF2"/>
    <w:rsid w:val="00085F60"/>
    <w:rsid w:val="00086846"/>
    <w:rsid w:val="00086F67"/>
    <w:rsid w:val="00087FF5"/>
    <w:rsid w:val="000928AB"/>
    <w:rsid w:val="00092F2E"/>
    <w:rsid w:val="0009351D"/>
    <w:rsid w:val="00094120"/>
    <w:rsid w:val="0009442E"/>
    <w:rsid w:val="000947BE"/>
    <w:rsid w:val="0009488F"/>
    <w:rsid w:val="00095CC0"/>
    <w:rsid w:val="00095D27"/>
    <w:rsid w:val="0009626D"/>
    <w:rsid w:val="0009663B"/>
    <w:rsid w:val="0009678E"/>
    <w:rsid w:val="000969E3"/>
    <w:rsid w:val="00096C7A"/>
    <w:rsid w:val="00097666"/>
    <w:rsid w:val="000A005D"/>
    <w:rsid w:val="000A0A35"/>
    <w:rsid w:val="000A2407"/>
    <w:rsid w:val="000A3679"/>
    <w:rsid w:val="000A5E2F"/>
    <w:rsid w:val="000A642F"/>
    <w:rsid w:val="000A6B6C"/>
    <w:rsid w:val="000A77E7"/>
    <w:rsid w:val="000A7B81"/>
    <w:rsid w:val="000A7E9F"/>
    <w:rsid w:val="000B0353"/>
    <w:rsid w:val="000B03F3"/>
    <w:rsid w:val="000B09E3"/>
    <w:rsid w:val="000B0F1B"/>
    <w:rsid w:val="000B0FA4"/>
    <w:rsid w:val="000B219A"/>
    <w:rsid w:val="000B2362"/>
    <w:rsid w:val="000B2794"/>
    <w:rsid w:val="000B2B4D"/>
    <w:rsid w:val="000B3C65"/>
    <w:rsid w:val="000B5027"/>
    <w:rsid w:val="000B5C27"/>
    <w:rsid w:val="000B6080"/>
    <w:rsid w:val="000B67A6"/>
    <w:rsid w:val="000B7962"/>
    <w:rsid w:val="000B7CF6"/>
    <w:rsid w:val="000B7D88"/>
    <w:rsid w:val="000B7EE9"/>
    <w:rsid w:val="000C0564"/>
    <w:rsid w:val="000C1099"/>
    <w:rsid w:val="000C13C2"/>
    <w:rsid w:val="000C24CB"/>
    <w:rsid w:val="000C2F6A"/>
    <w:rsid w:val="000C34B6"/>
    <w:rsid w:val="000C3528"/>
    <w:rsid w:val="000C382E"/>
    <w:rsid w:val="000C39F0"/>
    <w:rsid w:val="000C4D19"/>
    <w:rsid w:val="000C523E"/>
    <w:rsid w:val="000C5EBE"/>
    <w:rsid w:val="000C6077"/>
    <w:rsid w:val="000C64E5"/>
    <w:rsid w:val="000C6601"/>
    <w:rsid w:val="000C6F15"/>
    <w:rsid w:val="000C735D"/>
    <w:rsid w:val="000C74E4"/>
    <w:rsid w:val="000D091B"/>
    <w:rsid w:val="000D0C00"/>
    <w:rsid w:val="000D1A7D"/>
    <w:rsid w:val="000D24AD"/>
    <w:rsid w:val="000D259E"/>
    <w:rsid w:val="000D25C0"/>
    <w:rsid w:val="000D2B25"/>
    <w:rsid w:val="000D4810"/>
    <w:rsid w:val="000D4D9A"/>
    <w:rsid w:val="000D52DA"/>
    <w:rsid w:val="000D5A2F"/>
    <w:rsid w:val="000D61BD"/>
    <w:rsid w:val="000D69E6"/>
    <w:rsid w:val="000D6A96"/>
    <w:rsid w:val="000D79F6"/>
    <w:rsid w:val="000E093C"/>
    <w:rsid w:val="000E0CE4"/>
    <w:rsid w:val="000E0F25"/>
    <w:rsid w:val="000E2871"/>
    <w:rsid w:val="000E2CE8"/>
    <w:rsid w:val="000E30D9"/>
    <w:rsid w:val="000E349C"/>
    <w:rsid w:val="000E4593"/>
    <w:rsid w:val="000E4C0E"/>
    <w:rsid w:val="000E4FD0"/>
    <w:rsid w:val="000E5306"/>
    <w:rsid w:val="000E635F"/>
    <w:rsid w:val="000E686B"/>
    <w:rsid w:val="000E7025"/>
    <w:rsid w:val="000E7153"/>
    <w:rsid w:val="000E78A1"/>
    <w:rsid w:val="000E7F79"/>
    <w:rsid w:val="000F118B"/>
    <w:rsid w:val="000F18D0"/>
    <w:rsid w:val="000F1D15"/>
    <w:rsid w:val="000F2962"/>
    <w:rsid w:val="000F3C12"/>
    <w:rsid w:val="000F4436"/>
    <w:rsid w:val="000F4528"/>
    <w:rsid w:val="000F4581"/>
    <w:rsid w:val="000F4DAD"/>
    <w:rsid w:val="000F528C"/>
    <w:rsid w:val="000F556B"/>
    <w:rsid w:val="000F587B"/>
    <w:rsid w:val="000F7585"/>
    <w:rsid w:val="00100498"/>
    <w:rsid w:val="00102A6A"/>
    <w:rsid w:val="00102F35"/>
    <w:rsid w:val="001032B1"/>
    <w:rsid w:val="0010344B"/>
    <w:rsid w:val="001037A5"/>
    <w:rsid w:val="001039EC"/>
    <w:rsid w:val="00103E00"/>
    <w:rsid w:val="00104120"/>
    <w:rsid w:val="00104957"/>
    <w:rsid w:val="00104B11"/>
    <w:rsid w:val="00104FA7"/>
    <w:rsid w:val="00105760"/>
    <w:rsid w:val="001059D3"/>
    <w:rsid w:val="00105A8A"/>
    <w:rsid w:val="00105CCB"/>
    <w:rsid w:val="00105E13"/>
    <w:rsid w:val="00105FE9"/>
    <w:rsid w:val="0010628A"/>
    <w:rsid w:val="00106305"/>
    <w:rsid w:val="0010650B"/>
    <w:rsid w:val="00106605"/>
    <w:rsid w:val="00106A0B"/>
    <w:rsid w:val="00106B4D"/>
    <w:rsid w:val="001071C8"/>
    <w:rsid w:val="00110427"/>
    <w:rsid w:val="001104E5"/>
    <w:rsid w:val="00110859"/>
    <w:rsid w:val="00110B17"/>
    <w:rsid w:val="0011140D"/>
    <w:rsid w:val="0011181F"/>
    <w:rsid w:val="001118A7"/>
    <w:rsid w:val="00111F86"/>
    <w:rsid w:val="00112027"/>
    <w:rsid w:val="00112F29"/>
    <w:rsid w:val="00112FEA"/>
    <w:rsid w:val="00113FE7"/>
    <w:rsid w:val="001141DC"/>
    <w:rsid w:val="001148BD"/>
    <w:rsid w:val="00114D32"/>
    <w:rsid w:val="00114DE8"/>
    <w:rsid w:val="00114FC7"/>
    <w:rsid w:val="00115017"/>
    <w:rsid w:val="00115B8A"/>
    <w:rsid w:val="001162C9"/>
    <w:rsid w:val="001179FD"/>
    <w:rsid w:val="0012009A"/>
    <w:rsid w:val="001201CD"/>
    <w:rsid w:val="00120B12"/>
    <w:rsid w:val="00120CE5"/>
    <w:rsid w:val="001219DC"/>
    <w:rsid w:val="00121B59"/>
    <w:rsid w:val="001222BE"/>
    <w:rsid w:val="00122732"/>
    <w:rsid w:val="001227C4"/>
    <w:rsid w:val="001238D7"/>
    <w:rsid w:val="00124647"/>
    <w:rsid w:val="001246E8"/>
    <w:rsid w:val="0012529D"/>
    <w:rsid w:val="00125A31"/>
    <w:rsid w:val="00126D73"/>
    <w:rsid w:val="001274F5"/>
    <w:rsid w:val="00130327"/>
    <w:rsid w:val="00130726"/>
    <w:rsid w:val="00130F78"/>
    <w:rsid w:val="00130F9F"/>
    <w:rsid w:val="00131304"/>
    <w:rsid w:val="00131841"/>
    <w:rsid w:val="00131BA4"/>
    <w:rsid w:val="00131C57"/>
    <w:rsid w:val="00131DF3"/>
    <w:rsid w:val="00132BBB"/>
    <w:rsid w:val="00132E91"/>
    <w:rsid w:val="00132FF3"/>
    <w:rsid w:val="0013358C"/>
    <w:rsid w:val="00133626"/>
    <w:rsid w:val="001339F0"/>
    <w:rsid w:val="00133A15"/>
    <w:rsid w:val="00134A43"/>
    <w:rsid w:val="00134B0B"/>
    <w:rsid w:val="001356AB"/>
    <w:rsid w:val="0013574C"/>
    <w:rsid w:val="00136B3C"/>
    <w:rsid w:val="00136E8F"/>
    <w:rsid w:val="0013777C"/>
    <w:rsid w:val="0014038E"/>
    <w:rsid w:val="00140826"/>
    <w:rsid w:val="001410A3"/>
    <w:rsid w:val="00141223"/>
    <w:rsid w:val="00143034"/>
    <w:rsid w:val="00143320"/>
    <w:rsid w:val="00144296"/>
    <w:rsid w:val="001442A1"/>
    <w:rsid w:val="001448A7"/>
    <w:rsid w:val="00145050"/>
    <w:rsid w:val="00145161"/>
    <w:rsid w:val="00146014"/>
    <w:rsid w:val="0014645F"/>
    <w:rsid w:val="00146C78"/>
    <w:rsid w:val="00147532"/>
    <w:rsid w:val="001475FF"/>
    <w:rsid w:val="001508B1"/>
    <w:rsid w:val="001508F2"/>
    <w:rsid w:val="00150C88"/>
    <w:rsid w:val="0015138D"/>
    <w:rsid w:val="001515E1"/>
    <w:rsid w:val="0015211D"/>
    <w:rsid w:val="0015271B"/>
    <w:rsid w:val="00152807"/>
    <w:rsid w:val="00152F1E"/>
    <w:rsid w:val="00152F2E"/>
    <w:rsid w:val="001534AC"/>
    <w:rsid w:val="00154676"/>
    <w:rsid w:val="00154896"/>
    <w:rsid w:val="001548F2"/>
    <w:rsid w:val="00154CE6"/>
    <w:rsid w:val="001552EC"/>
    <w:rsid w:val="00155680"/>
    <w:rsid w:val="00155E6D"/>
    <w:rsid w:val="00156D23"/>
    <w:rsid w:val="0015730A"/>
    <w:rsid w:val="00157938"/>
    <w:rsid w:val="00157A29"/>
    <w:rsid w:val="001608F2"/>
    <w:rsid w:val="00160B66"/>
    <w:rsid w:val="00161114"/>
    <w:rsid w:val="001619EA"/>
    <w:rsid w:val="00161C38"/>
    <w:rsid w:val="00161D24"/>
    <w:rsid w:val="00162878"/>
    <w:rsid w:val="00162DCB"/>
    <w:rsid w:val="00162F82"/>
    <w:rsid w:val="001638C2"/>
    <w:rsid w:val="00164417"/>
    <w:rsid w:val="00164A70"/>
    <w:rsid w:val="001653EF"/>
    <w:rsid w:val="0016594E"/>
    <w:rsid w:val="00165D79"/>
    <w:rsid w:val="001673EA"/>
    <w:rsid w:val="0016752B"/>
    <w:rsid w:val="00167D43"/>
    <w:rsid w:val="00171317"/>
    <w:rsid w:val="001716C5"/>
    <w:rsid w:val="0017210A"/>
    <w:rsid w:val="0017229B"/>
    <w:rsid w:val="001727FF"/>
    <w:rsid w:val="00172B59"/>
    <w:rsid w:val="001733F5"/>
    <w:rsid w:val="00173E24"/>
    <w:rsid w:val="001742A5"/>
    <w:rsid w:val="001742CD"/>
    <w:rsid w:val="00174D0C"/>
    <w:rsid w:val="00175231"/>
    <w:rsid w:val="00175B16"/>
    <w:rsid w:val="00175FE8"/>
    <w:rsid w:val="00176544"/>
    <w:rsid w:val="00176B17"/>
    <w:rsid w:val="00177761"/>
    <w:rsid w:val="00177C02"/>
    <w:rsid w:val="0018024D"/>
    <w:rsid w:val="001808A8"/>
    <w:rsid w:val="00180A83"/>
    <w:rsid w:val="001814CF"/>
    <w:rsid w:val="0018168C"/>
    <w:rsid w:val="0018186E"/>
    <w:rsid w:val="00182135"/>
    <w:rsid w:val="0018289F"/>
    <w:rsid w:val="00182F5C"/>
    <w:rsid w:val="00183C51"/>
    <w:rsid w:val="00183E13"/>
    <w:rsid w:val="00184B50"/>
    <w:rsid w:val="00184C2A"/>
    <w:rsid w:val="00184D6A"/>
    <w:rsid w:val="001850A7"/>
    <w:rsid w:val="001855A2"/>
    <w:rsid w:val="0018565E"/>
    <w:rsid w:val="00185847"/>
    <w:rsid w:val="001858EF"/>
    <w:rsid w:val="00185D6F"/>
    <w:rsid w:val="00187308"/>
    <w:rsid w:val="00187471"/>
    <w:rsid w:val="00187801"/>
    <w:rsid w:val="00190F94"/>
    <w:rsid w:val="00192720"/>
    <w:rsid w:val="00192B39"/>
    <w:rsid w:val="00192EA9"/>
    <w:rsid w:val="00193327"/>
    <w:rsid w:val="00193731"/>
    <w:rsid w:val="001938A1"/>
    <w:rsid w:val="00193EC6"/>
    <w:rsid w:val="00194036"/>
    <w:rsid w:val="001950E0"/>
    <w:rsid w:val="001954DA"/>
    <w:rsid w:val="00195A74"/>
    <w:rsid w:val="00195D26"/>
    <w:rsid w:val="00197D97"/>
    <w:rsid w:val="00197E2E"/>
    <w:rsid w:val="001A0257"/>
    <w:rsid w:val="001A0A02"/>
    <w:rsid w:val="001A0A78"/>
    <w:rsid w:val="001A116A"/>
    <w:rsid w:val="001A15F5"/>
    <w:rsid w:val="001A171D"/>
    <w:rsid w:val="001A253A"/>
    <w:rsid w:val="001A2D4E"/>
    <w:rsid w:val="001A2F61"/>
    <w:rsid w:val="001A390A"/>
    <w:rsid w:val="001A3C89"/>
    <w:rsid w:val="001A3D1A"/>
    <w:rsid w:val="001A5721"/>
    <w:rsid w:val="001A60F3"/>
    <w:rsid w:val="001A6363"/>
    <w:rsid w:val="001A65E1"/>
    <w:rsid w:val="001A65F3"/>
    <w:rsid w:val="001A6766"/>
    <w:rsid w:val="001A689F"/>
    <w:rsid w:val="001A79D0"/>
    <w:rsid w:val="001A7EFD"/>
    <w:rsid w:val="001B0349"/>
    <w:rsid w:val="001B03B1"/>
    <w:rsid w:val="001B0D7E"/>
    <w:rsid w:val="001B0F55"/>
    <w:rsid w:val="001B1863"/>
    <w:rsid w:val="001B253D"/>
    <w:rsid w:val="001B26A3"/>
    <w:rsid w:val="001B2E5A"/>
    <w:rsid w:val="001B2F11"/>
    <w:rsid w:val="001B3443"/>
    <w:rsid w:val="001B3CD1"/>
    <w:rsid w:val="001B524D"/>
    <w:rsid w:val="001B6773"/>
    <w:rsid w:val="001B682F"/>
    <w:rsid w:val="001B79EB"/>
    <w:rsid w:val="001C069D"/>
    <w:rsid w:val="001C0BB6"/>
    <w:rsid w:val="001C1129"/>
    <w:rsid w:val="001C1A02"/>
    <w:rsid w:val="001C2224"/>
    <w:rsid w:val="001C24B9"/>
    <w:rsid w:val="001C2CDB"/>
    <w:rsid w:val="001C343E"/>
    <w:rsid w:val="001C383D"/>
    <w:rsid w:val="001C3DE0"/>
    <w:rsid w:val="001C3E50"/>
    <w:rsid w:val="001C40CE"/>
    <w:rsid w:val="001C53AD"/>
    <w:rsid w:val="001C5452"/>
    <w:rsid w:val="001C555B"/>
    <w:rsid w:val="001C5E64"/>
    <w:rsid w:val="001C60F6"/>
    <w:rsid w:val="001C6109"/>
    <w:rsid w:val="001C6FD6"/>
    <w:rsid w:val="001C7734"/>
    <w:rsid w:val="001D033C"/>
    <w:rsid w:val="001D0520"/>
    <w:rsid w:val="001D05AD"/>
    <w:rsid w:val="001D0A6E"/>
    <w:rsid w:val="001D15B1"/>
    <w:rsid w:val="001D16A8"/>
    <w:rsid w:val="001D1D76"/>
    <w:rsid w:val="001D22C0"/>
    <w:rsid w:val="001D2A8D"/>
    <w:rsid w:val="001D328C"/>
    <w:rsid w:val="001D3F6A"/>
    <w:rsid w:val="001D498A"/>
    <w:rsid w:val="001D51C3"/>
    <w:rsid w:val="001D577A"/>
    <w:rsid w:val="001D5B63"/>
    <w:rsid w:val="001D66F5"/>
    <w:rsid w:val="001D6A81"/>
    <w:rsid w:val="001D6BB6"/>
    <w:rsid w:val="001D6D09"/>
    <w:rsid w:val="001D7B74"/>
    <w:rsid w:val="001E0E5C"/>
    <w:rsid w:val="001E2399"/>
    <w:rsid w:val="001E254A"/>
    <w:rsid w:val="001E2E12"/>
    <w:rsid w:val="001E2F7B"/>
    <w:rsid w:val="001E3455"/>
    <w:rsid w:val="001E353F"/>
    <w:rsid w:val="001E3657"/>
    <w:rsid w:val="001E3718"/>
    <w:rsid w:val="001E4914"/>
    <w:rsid w:val="001E4D03"/>
    <w:rsid w:val="001E5535"/>
    <w:rsid w:val="001E5A22"/>
    <w:rsid w:val="001E5D4C"/>
    <w:rsid w:val="001E6E10"/>
    <w:rsid w:val="001E73F9"/>
    <w:rsid w:val="001E7838"/>
    <w:rsid w:val="001E7B5B"/>
    <w:rsid w:val="001E7EC9"/>
    <w:rsid w:val="001F141D"/>
    <w:rsid w:val="001F1B79"/>
    <w:rsid w:val="001F1F08"/>
    <w:rsid w:val="001F2198"/>
    <w:rsid w:val="001F21DD"/>
    <w:rsid w:val="001F2A7C"/>
    <w:rsid w:val="001F2B71"/>
    <w:rsid w:val="001F3635"/>
    <w:rsid w:val="001F3D59"/>
    <w:rsid w:val="001F3F5A"/>
    <w:rsid w:val="001F4507"/>
    <w:rsid w:val="001F4F24"/>
    <w:rsid w:val="001F59BE"/>
    <w:rsid w:val="001F5B00"/>
    <w:rsid w:val="001F5DD8"/>
    <w:rsid w:val="001F62A4"/>
    <w:rsid w:val="001F66CC"/>
    <w:rsid w:val="001F6D1E"/>
    <w:rsid w:val="001F7421"/>
    <w:rsid w:val="001F74E0"/>
    <w:rsid w:val="001F7813"/>
    <w:rsid w:val="001F7B6C"/>
    <w:rsid w:val="001F7FC4"/>
    <w:rsid w:val="0020008E"/>
    <w:rsid w:val="002001B8"/>
    <w:rsid w:val="00200C76"/>
    <w:rsid w:val="00200D91"/>
    <w:rsid w:val="0020124C"/>
    <w:rsid w:val="002023D4"/>
    <w:rsid w:val="00202A9C"/>
    <w:rsid w:val="00203089"/>
    <w:rsid w:val="002035F3"/>
    <w:rsid w:val="0020501F"/>
    <w:rsid w:val="002050DD"/>
    <w:rsid w:val="0020521A"/>
    <w:rsid w:val="00206443"/>
    <w:rsid w:val="00206729"/>
    <w:rsid w:val="00206B6C"/>
    <w:rsid w:val="0020785E"/>
    <w:rsid w:val="00211CD4"/>
    <w:rsid w:val="00211F73"/>
    <w:rsid w:val="0021247F"/>
    <w:rsid w:val="00212F3D"/>
    <w:rsid w:val="00213611"/>
    <w:rsid w:val="00213A6F"/>
    <w:rsid w:val="00213C65"/>
    <w:rsid w:val="002144F0"/>
    <w:rsid w:val="00214D0D"/>
    <w:rsid w:val="00215AA3"/>
    <w:rsid w:val="00216083"/>
    <w:rsid w:val="00216CFD"/>
    <w:rsid w:val="00217367"/>
    <w:rsid w:val="00217949"/>
    <w:rsid w:val="00220455"/>
    <w:rsid w:val="002209A1"/>
    <w:rsid w:val="00220E23"/>
    <w:rsid w:val="0022145A"/>
    <w:rsid w:val="0022163A"/>
    <w:rsid w:val="0022271F"/>
    <w:rsid w:val="00222AC2"/>
    <w:rsid w:val="00223712"/>
    <w:rsid w:val="00223B01"/>
    <w:rsid w:val="00223C19"/>
    <w:rsid w:val="00223D65"/>
    <w:rsid w:val="0022433D"/>
    <w:rsid w:val="002247CB"/>
    <w:rsid w:val="00224B86"/>
    <w:rsid w:val="002253AA"/>
    <w:rsid w:val="002254D9"/>
    <w:rsid w:val="00225A77"/>
    <w:rsid w:val="0022640B"/>
    <w:rsid w:val="002273E6"/>
    <w:rsid w:val="00227AEB"/>
    <w:rsid w:val="00230248"/>
    <w:rsid w:val="002307EA"/>
    <w:rsid w:val="00230E95"/>
    <w:rsid w:val="00231507"/>
    <w:rsid w:val="002315B3"/>
    <w:rsid w:val="0023179E"/>
    <w:rsid w:val="00231B46"/>
    <w:rsid w:val="00231D09"/>
    <w:rsid w:val="00232018"/>
    <w:rsid w:val="002324B6"/>
    <w:rsid w:val="00233402"/>
    <w:rsid w:val="002337A5"/>
    <w:rsid w:val="00233FD1"/>
    <w:rsid w:val="002343CA"/>
    <w:rsid w:val="00235329"/>
    <w:rsid w:val="002364C4"/>
    <w:rsid w:val="0023664E"/>
    <w:rsid w:val="00237096"/>
    <w:rsid w:val="002370B5"/>
    <w:rsid w:val="00237667"/>
    <w:rsid w:val="002400AD"/>
    <w:rsid w:val="00240856"/>
    <w:rsid w:val="002409C5"/>
    <w:rsid w:val="00240A81"/>
    <w:rsid w:val="0024199C"/>
    <w:rsid w:val="0024201A"/>
    <w:rsid w:val="00242070"/>
    <w:rsid w:val="0024242E"/>
    <w:rsid w:val="002425D3"/>
    <w:rsid w:val="002429F2"/>
    <w:rsid w:val="002449F0"/>
    <w:rsid w:val="00244AC9"/>
    <w:rsid w:val="00245D8F"/>
    <w:rsid w:val="00247669"/>
    <w:rsid w:val="002478D6"/>
    <w:rsid w:val="00247AD2"/>
    <w:rsid w:val="00247E26"/>
    <w:rsid w:val="0025152D"/>
    <w:rsid w:val="0025284F"/>
    <w:rsid w:val="00252BCF"/>
    <w:rsid w:val="00253150"/>
    <w:rsid w:val="002533E0"/>
    <w:rsid w:val="00254C4A"/>
    <w:rsid w:val="002551CE"/>
    <w:rsid w:val="00255769"/>
    <w:rsid w:val="00255F92"/>
    <w:rsid w:val="0025797A"/>
    <w:rsid w:val="002603BB"/>
    <w:rsid w:val="00260F50"/>
    <w:rsid w:val="0026141E"/>
    <w:rsid w:val="00261706"/>
    <w:rsid w:val="00262224"/>
    <w:rsid w:val="00262886"/>
    <w:rsid w:val="00262889"/>
    <w:rsid w:val="00262F5D"/>
    <w:rsid w:val="00264407"/>
    <w:rsid w:val="00264649"/>
    <w:rsid w:val="00265738"/>
    <w:rsid w:val="00265CED"/>
    <w:rsid w:val="002668FB"/>
    <w:rsid w:val="00266FD0"/>
    <w:rsid w:val="00267573"/>
    <w:rsid w:val="002677D7"/>
    <w:rsid w:val="00267A3C"/>
    <w:rsid w:val="00267E28"/>
    <w:rsid w:val="00271280"/>
    <w:rsid w:val="00271CC9"/>
    <w:rsid w:val="00272073"/>
    <w:rsid w:val="002723AE"/>
    <w:rsid w:val="0027268F"/>
    <w:rsid w:val="00272773"/>
    <w:rsid w:val="00272F16"/>
    <w:rsid w:val="00272FBF"/>
    <w:rsid w:val="00273693"/>
    <w:rsid w:val="002737E8"/>
    <w:rsid w:val="0027443A"/>
    <w:rsid w:val="00274AC9"/>
    <w:rsid w:val="00274DB6"/>
    <w:rsid w:val="00275840"/>
    <w:rsid w:val="00275988"/>
    <w:rsid w:val="0027646B"/>
    <w:rsid w:val="00276EF3"/>
    <w:rsid w:val="00277604"/>
    <w:rsid w:val="002778D0"/>
    <w:rsid w:val="00277980"/>
    <w:rsid w:val="00277D03"/>
    <w:rsid w:val="0028078B"/>
    <w:rsid w:val="002810F8"/>
    <w:rsid w:val="00281625"/>
    <w:rsid w:val="0028219E"/>
    <w:rsid w:val="00282540"/>
    <w:rsid w:val="00282ADF"/>
    <w:rsid w:val="00283129"/>
    <w:rsid w:val="00283D00"/>
    <w:rsid w:val="00283E2C"/>
    <w:rsid w:val="002841B9"/>
    <w:rsid w:val="00284385"/>
    <w:rsid w:val="00284EC7"/>
    <w:rsid w:val="0028527C"/>
    <w:rsid w:val="00286E30"/>
    <w:rsid w:val="00287E98"/>
    <w:rsid w:val="00290891"/>
    <w:rsid w:val="002909BF"/>
    <w:rsid w:val="00290D3A"/>
    <w:rsid w:val="002913DC"/>
    <w:rsid w:val="00292BE6"/>
    <w:rsid w:val="00292C0D"/>
    <w:rsid w:val="00293988"/>
    <w:rsid w:val="00293AAE"/>
    <w:rsid w:val="00293B5F"/>
    <w:rsid w:val="0029420F"/>
    <w:rsid w:val="002949B6"/>
    <w:rsid w:val="00294DE3"/>
    <w:rsid w:val="00295425"/>
    <w:rsid w:val="002954CC"/>
    <w:rsid w:val="00296581"/>
    <w:rsid w:val="00296C03"/>
    <w:rsid w:val="00296D13"/>
    <w:rsid w:val="00297E9B"/>
    <w:rsid w:val="002A066E"/>
    <w:rsid w:val="002A1092"/>
    <w:rsid w:val="002A19A4"/>
    <w:rsid w:val="002A1BDC"/>
    <w:rsid w:val="002A1E57"/>
    <w:rsid w:val="002A1F52"/>
    <w:rsid w:val="002A2697"/>
    <w:rsid w:val="002A33F7"/>
    <w:rsid w:val="002A390F"/>
    <w:rsid w:val="002A3E8A"/>
    <w:rsid w:val="002A4305"/>
    <w:rsid w:val="002A445E"/>
    <w:rsid w:val="002A46EF"/>
    <w:rsid w:val="002A519E"/>
    <w:rsid w:val="002A521A"/>
    <w:rsid w:val="002A5683"/>
    <w:rsid w:val="002A5BDE"/>
    <w:rsid w:val="002A612B"/>
    <w:rsid w:val="002A63C6"/>
    <w:rsid w:val="002A67AE"/>
    <w:rsid w:val="002A724E"/>
    <w:rsid w:val="002A7676"/>
    <w:rsid w:val="002A7AEC"/>
    <w:rsid w:val="002A7D11"/>
    <w:rsid w:val="002A7E80"/>
    <w:rsid w:val="002B041D"/>
    <w:rsid w:val="002B2FBB"/>
    <w:rsid w:val="002B30B6"/>
    <w:rsid w:val="002B342B"/>
    <w:rsid w:val="002B34FC"/>
    <w:rsid w:val="002B3867"/>
    <w:rsid w:val="002B4837"/>
    <w:rsid w:val="002B4937"/>
    <w:rsid w:val="002B4C1D"/>
    <w:rsid w:val="002B5C57"/>
    <w:rsid w:val="002B6BB1"/>
    <w:rsid w:val="002B7686"/>
    <w:rsid w:val="002C1C81"/>
    <w:rsid w:val="002C4C33"/>
    <w:rsid w:val="002C504C"/>
    <w:rsid w:val="002C539C"/>
    <w:rsid w:val="002C56B7"/>
    <w:rsid w:val="002C6D15"/>
    <w:rsid w:val="002C73B5"/>
    <w:rsid w:val="002D1700"/>
    <w:rsid w:val="002D20BD"/>
    <w:rsid w:val="002D23C7"/>
    <w:rsid w:val="002D26B9"/>
    <w:rsid w:val="002D2A46"/>
    <w:rsid w:val="002D35B3"/>
    <w:rsid w:val="002D599A"/>
    <w:rsid w:val="002D5AA7"/>
    <w:rsid w:val="002D5CE6"/>
    <w:rsid w:val="002D5ED2"/>
    <w:rsid w:val="002D63BF"/>
    <w:rsid w:val="002D63F6"/>
    <w:rsid w:val="002D6459"/>
    <w:rsid w:val="002D6B9B"/>
    <w:rsid w:val="002D7455"/>
    <w:rsid w:val="002D776C"/>
    <w:rsid w:val="002D79BD"/>
    <w:rsid w:val="002D7AB9"/>
    <w:rsid w:val="002E0235"/>
    <w:rsid w:val="002E0670"/>
    <w:rsid w:val="002E069A"/>
    <w:rsid w:val="002E06B0"/>
    <w:rsid w:val="002E0F9B"/>
    <w:rsid w:val="002E1882"/>
    <w:rsid w:val="002E1B2E"/>
    <w:rsid w:val="002E23F7"/>
    <w:rsid w:val="002E361A"/>
    <w:rsid w:val="002E520C"/>
    <w:rsid w:val="002E6918"/>
    <w:rsid w:val="002E6B16"/>
    <w:rsid w:val="002E6CB8"/>
    <w:rsid w:val="002E6F3F"/>
    <w:rsid w:val="002E787D"/>
    <w:rsid w:val="002E78A2"/>
    <w:rsid w:val="002E7FC8"/>
    <w:rsid w:val="002F0051"/>
    <w:rsid w:val="002F0667"/>
    <w:rsid w:val="002F096E"/>
    <w:rsid w:val="002F18DD"/>
    <w:rsid w:val="002F19C4"/>
    <w:rsid w:val="002F1B1C"/>
    <w:rsid w:val="002F1C8C"/>
    <w:rsid w:val="002F1E47"/>
    <w:rsid w:val="002F2188"/>
    <w:rsid w:val="002F28D1"/>
    <w:rsid w:val="002F294E"/>
    <w:rsid w:val="002F2B29"/>
    <w:rsid w:val="002F39D5"/>
    <w:rsid w:val="002F5A25"/>
    <w:rsid w:val="002F5F65"/>
    <w:rsid w:val="002F6998"/>
    <w:rsid w:val="002F6A89"/>
    <w:rsid w:val="002F70A5"/>
    <w:rsid w:val="002F7328"/>
    <w:rsid w:val="002F7815"/>
    <w:rsid w:val="002F7A20"/>
    <w:rsid w:val="00300F75"/>
    <w:rsid w:val="003015E6"/>
    <w:rsid w:val="0030337C"/>
    <w:rsid w:val="00303AA6"/>
    <w:rsid w:val="00303EE0"/>
    <w:rsid w:val="003047AD"/>
    <w:rsid w:val="00304FF8"/>
    <w:rsid w:val="00305324"/>
    <w:rsid w:val="003053D9"/>
    <w:rsid w:val="003070D0"/>
    <w:rsid w:val="0030717D"/>
    <w:rsid w:val="00307CC4"/>
    <w:rsid w:val="00307E55"/>
    <w:rsid w:val="00310010"/>
    <w:rsid w:val="003108FF"/>
    <w:rsid w:val="00310C8C"/>
    <w:rsid w:val="003113E4"/>
    <w:rsid w:val="0031141A"/>
    <w:rsid w:val="00311A5F"/>
    <w:rsid w:val="00311A7D"/>
    <w:rsid w:val="00312D91"/>
    <w:rsid w:val="00313519"/>
    <w:rsid w:val="003137F4"/>
    <w:rsid w:val="00320298"/>
    <w:rsid w:val="003202D3"/>
    <w:rsid w:val="00321A82"/>
    <w:rsid w:val="003220B7"/>
    <w:rsid w:val="00322236"/>
    <w:rsid w:val="003223A7"/>
    <w:rsid w:val="00323135"/>
    <w:rsid w:val="00323375"/>
    <w:rsid w:val="00323FC6"/>
    <w:rsid w:val="00324E87"/>
    <w:rsid w:val="003252F9"/>
    <w:rsid w:val="00326B5F"/>
    <w:rsid w:val="00326C47"/>
    <w:rsid w:val="003277F6"/>
    <w:rsid w:val="00327DC2"/>
    <w:rsid w:val="00330C2D"/>
    <w:rsid w:val="003322A2"/>
    <w:rsid w:val="00333A56"/>
    <w:rsid w:val="00334119"/>
    <w:rsid w:val="00334D21"/>
    <w:rsid w:val="0033574A"/>
    <w:rsid w:val="00335794"/>
    <w:rsid w:val="00335EBA"/>
    <w:rsid w:val="003367F7"/>
    <w:rsid w:val="00337613"/>
    <w:rsid w:val="00337F6A"/>
    <w:rsid w:val="003400E5"/>
    <w:rsid w:val="003418B1"/>
    <w:rsid w:val="00341A65"/>
    <w:rsid w:val="003421EC"/>
    <w:rsid w:val="00342554"/>
    <w:rsid w:val="00342584"/>
    <w:rsid w:val="003429F3"/>
    <w:rsid w:val="00343A10"/>
    <w:rsid w:val="003451A2"/>
    <w:rsid w:val="00345279"/>
    <w:rsid w:val="00346249"/>
    <w:rsid w:val="00346298"/>
    <w:rsid w:val="0034731D"/>
    <w:rsid w:val="00347745"/>
    <w:rsid w:val="0034793A"/>
    <w:rsid w:val="00347F20"/>
    <w:rsid w:val="003518FC"/>
    <w:rsid w:val="003519B0"/>
    <w:rsid w:val="00351BA6"/>
    <w:rsid w:val="003520DA"/>
    <w:rsid w:val="00352DB1"/>
    <w:rsid w:val="003531B5"/>
    <w:rsid w:val="0035437C"/>
    <w:rsid w:val="0035459F"/>
    <w:rsid w:val="00354C00"/>
    <w:rsid w:val="00355CA8"/>
    <w:rsid w:val="003560DD"/>
    <w:rsid w:val="0035661A"/>
    <w:rsid w:val="0035669D"/>
    <w:rsid w:val="00356EC8"/>
    <w:rsid w:val="003570B3"/>
    <w:rsid w:val="00357E4B"/>
    <w:rsid w:val="0036030C"/>
    <w:rsid w:val="00360649"/>
    <w:rsid w:val="00360872"/>
    <w:rsid w:val="0036089A"/>
    <w:rsid w:val="00360A3B"/>
    <w:rsid w:val="00362400"/>
    <w:rsid w:val="00362ACB"/>
    <w:rsid w:val="003639A3"/>
    <w:rsid w:val="00364465"/>
    <w:rsid w:val="00364541"/>
    <w:rsid w:val="00364A49"/>
    <w:rsid w:val="00366EE1"/>
    <w:rsid w:val="003676CE"/>
    <w:rsid w:val="00367E17"/>
    <w:rsid w:val="003705CB"/>
    <w:rsid w:val="003707A0"/>
    <w:rsid w:val="00370B40"/>
    <w:rsid w:val="00371FC2"/>
    <w:rsid w:val="0037264A"/>
    <w:rsid w:val="00372C52"/>
    <w:rsid w:val="00373011"/>
    <w:rsid w:val="003733A5"/>
    <w:rsid w:val="00373604"/>
    <w:rsid w:val="0037386C"/>
    <w:rsid w:val="003746D0"/>
    <w:rsid w:val="003746ED"/>
    <w:rsid w:val="0037546C"/>
    <w:rsid w:val="003755F2"/>
    <w:rsid w:val="00376600"/>
    <w:rsid w:val="00376750"/>
    <w:rsid w:val="00376975"/>
    <w:rsid w:val="00376B21"/>
    <w:rsid w:val="0037759C"/>
    <w:rsid w:val="00377B33"/>
    <w:rsid w:val="00377EC1"/>
    <w:rsid w:val="00380773"/>
    <w:rsid w:val="00380824"/>
    <w:rsid w:val="00380C51"/>
    <w:rsid w:val="003811AB"/>
    <w:rsid w:val="00381E47"/>
    <w:rsid w:val="003821E4"/>
    <w:rsid w:val="00382317"/>
    <w:rsid w:val="00382895"/>
    <w:rsid w:val="00383F8A"/>
    <w:rsid w:val="003842F9"/>
    <w:rsid w:val="00384364"/>
    <w:rsid w:val="00385184"/>
    <w:rsid w:val="00385762"/>
    <w:rsid w:val="00385EBD"/>
    <w:rsid w:val="0038693F"/>
    <w:rsid w:val="00386C5A"/>
    <w:rsid w:val="00386F34"/>
    <w:rsid w:val="00387F01"/>
    <w:rsid w:val="003910CE"/>
    <w:rsid w:val="00391559"/>
    <w:rsid w:val="00392771"/>
    <w:rsid w:val="00392A77"/>
    <w:rsid w:val="0039340D"/>
    <w:rsid w:val="003939D0"/>
    <w:rsid w:val="00393AFE"/>
    <w:rsid w:val="00394048"/>
    <w:rsid w:val="0039445E"/>
    <w:rsid w:val="00394CBF"/>
    <w:rsid w:val="00395661"/>
    <w:rsid w:val="003959F3"/>
    <w:rsid w:val="00396688"/>
    <w:rsid w:val="00396798"/>
    <w:rsid w:val="00396809"/>
    <w:rsid w:val="00396DB0"/>
    <w:rsid w:val="00396EC6"/>
    <w:rsid w:val="003974AA"/>
    <w:rsid w:val="00397E56"/>
    <w:rsid w:val="003A0A47"/>
    <w:rsid w:val="003A0BFB"/>
    <w:rsid w:val="003A0FD6"/>
    <w:rsid w:val="003A1C10"/>
    <w:rsid w:val="003A1DCC"/>
    <w:rsid w:val="003A2251"/>
    <w:rsid w:val="003A3C79"/>
    <w:rsid w:val="003A3CED"/>
    <w:rsid w:val="003A45B6"/>
    <w:rsid w:val="003A4609"/>
    <w:rsid w:val="003A498D"/>
    <w:rsid w:val="003A50D2"/>
    <w:rsid w:val="003A6A03"/>
    <w:rsid w:val="003A7241"/>
    <w:rsid w:val="003A7D3B"/>
    <w:rsid w:val="003B0100"/>
    <w:rsid w:val="003B01EF"/>
    <w:rsid w:val="003B0215"/>
    <w:rsid w:val="003B04B7"/>
    <w:rsid w:val="003B103F"/>
    <w:rsid w:val="003B18CD"/>
    <w:rsid w:val="003B2888"/>
    <w:rsid w:val="003B2A33"/>
    <w:rsid w:val="003B2E35"/>
    <w:rsid w:val="003B510B"/>
    <w:rsid w:val="003B5B84"/>
    <w:rsid w:val="003B6065"/>
    <w:rsid w:val="003B62BC"/>
    <w:rsid w:val="003B76C0"/>
    <w:rsid w:val="003B7B4C"/>
    <w:rsid w:val="003B7B70"/>
    <w:rsid w:val="003C0C44"/>
    <w:rsid w:val="003C0CB9"/>
    <w:rsid w:val="003C10DE"/>
    <w:rsid w:val="003C15D3"/>
    <w:rsid w:val="003C17B9"/>
    <w:rsid w:val="003C28C9"/>
    <w:rsid w:val="003C2A0C"/>
    <w:rsid w:val="003C3839"/>
    <w:rsid w:val="003C3F51"/>
    <w:rsid w:val="003C40E3"/>
    <w:rsid w:val="003C47DA"/>
    <w:rsid w:val="003C4967"/>
    <w:rsid w:val="003C4BFC"/>
    <w:rsid w:val="003C4E06"/>
    <w:rsid w:val="003C53A3"/>
    <w:rsid w:val="003C5CEC"/>
    <w:rsid w:val="003C6557"/>
    <w:rsid w:val="003C65AA"/>
    <w:rsid w:val="003C68B3"/>
    <w:rsid w:val="003C6A13"/>
    <w:rsid w:val="003C6CA0"/>
    <w:rsid w:val="003C7021"/>
    <w:rsid w:val="003C779C"/>
    <w:rsid w:val="003C7929"/>
    <w:rsid w:val="003C7EFC"/>
    <w:rsid w:val="003D091F"/>
    <w:rsid w:val="003D1372"/>
    <w:rsid w:val="003D1FC1"/>
    <w:rsid w:val="003D2CEE"/>
    <w:rsid w:val="003D2CFA"/>
    <w:rsid w:val="003D4EA3"/>
    <w:rsid w:val="003D4FC7"/>
    <w:rsid w:val="003D5BCD"/>
    <w:rsid w:val="003D65A9"/>
    <w:rsid w:val="003D6CA0"/>
    <w:rsid w:val="003E0958"/>
    <w:rsid w:val="003E174A"/>
    <w:rsid w:val="003E1979"/>
    <w:rsid w:val="003E1FC5"/>
    <w:rsid w:val="003E2628"/>
    <w:rsid w:val="003E2CA8"/>
    <w:rsid w:val="003E2CF2"/>
    <w:rsid w:val="003E34BC"/>
    <w:rsid w:val="003E3626"/>
    <w:rsid w:val="003E3D6E"/>
    <w:rsid w:val="003E465F"/>
    <w:rsid w:val="003E47E1"/>
    <w:rsid w:val="003E4EFA"/>
    <w:rsid w:val="003E6D7E"/>
    <w:rsid w:val="003F0E23"/>
    <w:rsid w:val="003F1661"/>
    <w:rsid w:val="003F1F8A"/>
    <w:rsid w:val="003F35D1"/>
    <w:rsid w:val="003F4248"/>
    <w:rsid w:val="003F4D47"/>
    <w:rsid w:val="003F622E"/>
    <w:rsid w:val="003F7256"/>
    <w:rsid w:val="003F74B5"/>
    <w:rsid w:val="00400EB1"/>
    <w:rsid w:val="00401F9D"/>
    <w:rsid w:val="0040234A"/>
    <w:rsid w:val="00402682"/>
    <w:rsid w:val="00402C2A"/>
    <w:rsid w:val="00404937"/>
    <w:rsid w:val="00404D23"/>
    <w:rsid w:val="004053A9"/>
    <w:rsid w:val="00405F6B"/>
    <w:rsid w:val="00406338"/>
    <w:rsid w:val="00406A76"/>
    <w:rsid w:val="00407370"/>
    <w:rsid w:val="00407611"/>
    <w:rsid w:val="0041029E"/>
    <w:rsid w:val="004104DE"/>
    <w:rsid w:val="00410DBE"/>
    <w:rsid w:val="00412449"/>
    <w:rsid w:val="004139A3"/>
    <w:rsid w:val="00414CF3"/>
    <w:rsid w:val="00414F22"/>
    <w:rsid w:val="00415A00"/>
    <w:rsid w:val="00415AC2"/>
    <w:rsid w:val="004166BD"/>
    <w:rsid w:val="00416866"/>
    <w:rsid w:val="00416CD9"/>
    <w:rsid w:val="00416EBF"/>
    <w:rsid w:val="0041709F"/>
    <w:rsid w:val="00417778"/>
    <w:rsid w:val="00417AB2"/>
    <w:rsid w:val="00420484"/>
    <w:rsid w:val="00421919"/>
    <w:rsid w:val="004234AE"/>
    <w:rsid w:val="00423B25"/>
    <w:rsid w:val="00423CCE"/>
    <w:rsid w:val="00423D2D"/>
    <w:rsid w:val="00424598"/>
    <w:rsid w:val="00424C37"/>
    <w:rsid w:val="00426793"/>
    <w:rsid w:val="00426B2C"/>
    <w:rsid w:val="0043006F"/>
    <w:rsid w:val="004301F5"/>
    <w:rsid w:val="004308C8"/>
    <w:rsid w:val="004310B9"/>
    <w:rsid w:val="004315D8"/>
    <w:rsid w:val="004317A7"/>
    <w:rsid w:val="004321AF"/>
    <w:rsid w:val="00432CFB"/>
    <w:rsid w:val="00432E61"/>
    <w:rsid w:val="00432FD8"/>
    <w:rsid w:val="00433785"/>
    <w:rsid w:val="00433865"/>
    <w:rsid w:val="0043403B"/>
    <w:rsid w:val="0043419F"/>
    <w:rsid w:val="00434D7C"/>
    <w:rsid w:val="00434DBE"/>
    <w:rsid w:val="00434E41"/>
    <w:rsid w:val="0043545C"/>
    <w:rsid w:val="00435658"/>
    <w:rsid w:val="00436651"/>
    <w:rsid w:val="004367EB"/>
    <w:rsid w:val="00436915"/>
    <w:rsid w:val="00436E3C"/>
    <w:rsid w:val="00437C74"/>
    <w:rsid w:val="00437E9A"/>
    <w:rsid w:val="004401C4"/>
    <w:rsid w:val="0044072B"/>
    <w:rsid w:val="00440E30"/>
    <w:rsid w:val="00441326"/>
    <w:rsid w:val="0044180E"/>
    <w:rsid w:val="00444904"/>
    <w:rsid w:val="00445A1D"/>
    <w:rsid w:val="00446813"/>
    <w:rsid w:val="00446AC8"/>
    <w:rsid w:val="00447241"/>
    <w:rsid w:val="00447AA0"/>
    <w:rsid w:val="004502BB"/>
    <w:rsid w:val="00450DC3"/>
    <w:rsid w:val="0045176F"/>
    <w:rsid w:val="00452634"/>
    <w:rsid w:val="00452845"/>
    <w:rsid w:val="004529A9"/>
    <w:rsid w:val="00453032"/>
    <w:rsid w:val="004559A9"/>
    <w:rsid w:val="00455B75"/>
    <w:rsid w:val="00455F76"/>
    <w:rsid w:val="00456607"/>
    <w:rsid w:val="004569B4"/>
    <w:rsid w:val="00456AFC"/>
    <w:rsid w:val="00456D1B"/>
    <w:rsid w:val="00457765"/>
    <w:rsid w:val="00457DD2"/>
    <w:rsid w:val="00460331"/>
    <w:rsid w:val="00461252"/>
    <w:rsid w:val="004612FB"/>
    <w:rsid w:val="00461391"/>
    <w:rsid w:val="00461CED"/>
    <w:rsid w:val="004621AD"/>
    <w:rsid w:val="004624B3"/>
    <w:rsid w:val="00462FC1"/>
    <w:rsid w:val="00465B8B"/>
    <w:rsid w:val="00465EC0"/>
    <w:rsid w:val="00465ED5"/>
    <w:rsid w:val="0046607C"/>
    <w:rsid w:val="004661EC"/>
    <w:rsid w:val="0046650A"/>
    <w:rsid w:val="00466F31"/>
    <w:rsid w:val="004671F4"/>
    <w:rsid w:val="004676B5"/>
    <w:rsid w:val="00467A48"/>
    <w:rsid w:val="00467C3D"/>
    <w:rsid w:val="00467C79"/>
    <w:rsid w:val="00470734"/>
    <w:rsid w:val="00470A58"/>
    <w:rsid w:val="00470C50"/>
    <w:rsid w:val="004721AE"/>
    <w:rsid w:val="004721E4"/>
    <w:rsid w:val="00472EF7"/>
    <w:rsid w:val="00472FF6"/>
    <w:rsid w:val="004730F9"/>
    <w:rsid w:val="0047401B"/>
    <w:rsid w:val="004740C9"/>
    <w:rsid w:val="00474534"/>
    <w:rsid w:val="004748D4"/>
    <w:rsid w:val="00474D0B"/>
    <w:rsid w:val="00475217"/>
    <w:rsid w:val="00475A6F"/>
    <w:rsid w:val="00476A56"/>
    <w:rsid w:val="00477373"/>
    <w:rsid w:val="00477510"/>
    <w:rsid w:val="00477917"/>
    <w:rsid w:val="004779A4"/>
    <w:rsid w:val="004800BC"/>
    <w:rsid w:val="00480312"/>
    <w:rsid w:val="00480652"/>
    <w:rsid w:val="00481380"/>
    <w:rsid w:val="00482931"/>
    <w:rsid w:val="0048306F"/>
    <w:rsid w:val="00483F15"/>
    <w:rsid w:val="00484AEB"/>
    <w:rsid w:val="00485B73"/>
    <w:rsid w:val="00485DBC"/>
    <w:rsid w:val="00486582"/>
    <w:rsid w:val="004867EF"/>
    <w:rsid w:val="00486DF2"/>
    <w:rsid w:val="00486FF5"/>
    <w:rsid w:val="0048733B"/>
    <w:rsid w:val="0048754B"/>
    <w:rsid w:val="00487F6A"/>
    <w:rsid w:val="004902EF"/>
    <w:rsid w:val="0049121E"/>
    <w:rsid w:val="00491881"/>
    <w:rsid w:val="00491D0A"/>
    <w:rsid w:val="00491E9E"/>
    <w:rsid w:val="0049248B"/>
    <w:rsid w:val="00492737"/>
    <w:rsid w:val="00492795"/>
    <w:rsid w:val="00492F0C"/>
    <w:rsid w:val="004936AC"/>
    <w:rsid w:val="00493B4E"/>
    <w:rsid w:val="00495204"/>
    <w:rsid w:val="0049524E"/>
    <w:rsid w:val="00496DF5"/>
    <w:rsid w:val="00497E97"/>
    <w:rsid w:val="004A030A"/>
    <w:rsid w:val="004A0821"/>
    <w:rsid w:val="004A0BEB"/>
    <w:rsid w:val="004A0CCF"/>
    <w:rsid w:val="004A20F9"/>
    <w:rsid w:val="004A2897"/>
    <w:rsid w:val="004A2DAF"/>
    <w:rsid w:val="004A3100"/>
    <w:rsid w:val="004A3B7E"/>
    <w:rsid w:val="004A5744"/>
    <w:rsid w:val="004A57CA"/>
    <w:rsid w:val="004A5D9C"/>
    <w:rsid w:val="004A60D7"/>
    <w:rsid w:val="004A66B8"/>
    <w:rsid w:val="004A6E2E"/>
    <w:rsid w:val="004A7258"/>
    <w:rsid w:val="004A7830"/>
    <w:rsid w:val="004A79A6"/>
    <w:rsid w:val="004A79E6"/>
    <w:rsid w:val="004A7B45"/>
    <w:rsid w:val="004B00F4"/>
    <w:rsid w:val="004B0457"/>
    <w:rsid w:val="004B08BA"/>
    <w:rsid w:val="004B11D6"/>
    <w:rsid w:val="004B239E"/>
    <w:rsid w:val="004B23E1"/>
    <w:rsid w:val="004B437F"/>
    <w:rsid w:val="004B599F"/>
    <w:rsid w:val="004B6677"/>
    <w:rsid w:val="004B6C83"/>
    <w:rsid w:val="004B737B"/>
    <w:rsid w:val="004B7F23"/>
    <w:rsid w:val="004C0AC4"/>
    <w:rsid w:val="004C2A4B"/>
    <w:rsid w:val="004C3BF8"/>
    <w:rsid w:val="004C3F69"/>
    <w:rsid w:val="004C4B2B"/>
    <w:rsid w:val="004C4B7F"/>
    <w:rsid w:val="004C4CC3"/>
    <w:rsid w:val="004C5635"/>
    <w:rsid w:val="004C5662"/>
    <w:rsid w:val="004C5A21"/>
    <w:rsid w:val="004C5ADD"/>
    <w:rsid w:val="004C5F73"/>
    <w:rsid w:val="004C63ED"/>
    <w:rsid w:val="004C662A"/>
    <w:rsid w:val="004C6708"/>
    <w:rsid w:val="004C75CE"/>
    <w:rsid w:val="004C7706"/>
    <w:rsid w:val="004C7E44"/>
    <w:rsid w:val="004C7F84"/>
    <w:rsid w:val="004D0133"/>
    <w:rsid w:val="004D06E5"/>
    <w:rsid w:val="004D115C"/>
    <w:rsid w:val="004D1599"/>
    <w:rsid w:val="004D2223"/>
    <w:rsid w:val="004D228B"/>
    <w:rsid w:val="004D2AB4"/>
    <w:rsid w:val="004D2CC8"/>
    <w:rsid w:val="004D30D4"/>
    <w:rsid w:val="004D372D"/>
    <w:rsid w:val="004D4CD0"/>
    <w:rsid w:val="004D5B68"/>
    <w:rsid w:val="004D5B9D"/>
    <w:rsid w:val="004D6123"/>
    <w:rsid w:val="004D61B4"/>
    <w:rsid w:val="004D64B4"/>
    <w:rsid w:val="004D6B2D"/>
    <w:rsid w:val="004D71C4"/>
    <w:rsid w:val="004D7878"/>
    <w:rsid w:val="004E0B02"/>
    <w:rsid w:val="004E1B62"/>
    <w:rsid w:val="004E586D"/>
    <w:rsid w:val="004E64C6"/>
    <w:rsid w:val="004E6EE0"/>
    <w:rsid w:val="004E70B3"/>
    <w:rsid w:val="004E76C6"/>
    <w:rsid w:val="004E7D4B"/>
    <w:rsid w:val="004E7F0C"/>
    <w:rsid w:val="004F02B3"/>
    <w:rsid w:val="004F0DF4"/>
    <w:rsid w:val="004F2BA3"/>
    <w:rsid w:val="004F39EB"/>
    <w:rsid w:val="004F3B7A"/>
    <w:rsid w:val="004F426C"/>
    <w:rsid w:val="004F43E7"/>
    <w:rsid w:val="004F502E"/>
    <w:rsid w:val="004F6922"/>
    <w:rsid w:val="005003A8"/>
    <w:rsid w:val="005006EC"/>
    <w:rsid w:val="00500BC4"/>
    <w:rsid w:val="005014D0"/>
    <w:rsid w:val="00501643"/>
    <w:rsid w:val="005018D7"/>
    <w:rsid w:val="005025A9"/>
    <w:rsid w:val="00502872"/>
    <w:rsid w:val="0050291D"/>
    <w:rsid w:val="00502AD5"/>
    <w:rsid w:val="00502B22"/>
    <w:rsid w:val="00503FB0"/>
    <w:rsid w:val="0050403F"/>
    <w:rsid w:val="005058D7"/>
    <w:rsid w:val="00506260"/>
    <w:rsid w:val="00506FE0"/>
    <w:rsid w:val="0050745A"/>
    <w:rsid w:val="005074CA"/>
    <w:rsid w:val="005100DF"/>
    <w:rsid w:val="005113F4"/>
    <w:rsid w:val="00511AF5"/>
    <w:rsid w:val="00512079"/>
    <w:rsid w:val="005129B6"/>
    <w:rsid w:val="00512DA5"/>
    <w:rsid w:val="00513B11"/>
    <w:rsid w:val="00515439"/>
    <w:rsid w:val="0051627F"/>
    <w:rsid w:val="00516B1C"/>
    <w:rsid w:val="00516DB7"/>
    <w:rsid w:val="00517A60"/>
    <w:rsid w:val="005213E7"/>
    <w:rsid w:val="005224E5"/>
    <w:rsid w:val="00522940"/>
    <w:rsid w:val="00523485"/>
    <w:rsid w:val="00523B14"/>
    <w:rsid w:val="00526C82"/>
    <w:rsid w:val="00526F48"/>
    <w:rsid w:val="005271E0"/>
    <w:rsid w:val="005272B0"/>
    <w:rsid w:val="005279BB"/>
    <w:rsid w:val="005306AB"/>
    <w:rsid w:val="00530913"/>
    <w:rsid w:val="00530EA3"/>
    <w:rsid w:val="00530F96"/>
    <w:rsid w:val="00531E91"/>
    <w:rsid w:val="00532924"/>
    <w:rsid w:val="00532D32"/>
    <w:rsid w:val="00533776"/>
    <w:rsid w:val="00533BF8"/>
    <w:rsid w:val="0053495F"/>
    <w:rsid w:val="005349A3"/>
    <w:rsid w:val="00534D25"/>
    <w:rsid w:val="005355D4"/>
    <w:rsid w:val="00536C1F"/>
    <w:rsid w:val="00536C97"/>
    <w:rsid w:val="00540992"/>
    <w:rsid w:val="005410BD"/>
    <w:rsid w:val="00541548"/>
    <w:rsid w:val="0054174A"/>
    <w:rsid w:val="00542127"/>
    <w:rsid w:val="005428C4"/>
    <w:rsid w:val="00543299"/>
    <w:rsid w:val="00544D3D"/>
    <w:rsid w:val="0054589D"/>
    <w:rsid w:val="005464BF"/>
    <w:rsid w:val="0054729F"/>
    <w:rsid w:val="00550034"/>
    <w:rsid w:val="005500E2"/>
    <w:rsid w:val="00550240"/>
    <w:rsid w:val="0055097A"/>
    <w:rsid w:val="00551417"/>
    <w:rsid w:val="005516B2"/>
    <w:rsid w:val="005519D3"/>
    <w:rsid w:val="00552B88"/>
    <w:rsid w:val="005536BF"/>
    <w:rsid w:val="005536CE"/>
    <w:rsid w:val="00553838"/>
    <w:rsid w:val="00554686"/>
    <w:rsid w:val="005549FE"/>
    <w:rsid w:val="00555571"/>
    <w:rsid w:val="005559E2"/>
    <w:rsid w:val="00555BF1"/>
    <w:rsid w:val="005562C8"/>
    <w:rsid w:val="0055676B"/>
    <w:rsid w:val="00556B92"/>
    <w:rsid w:val="00557127"/>
    <w:rsid w:val="0055784E"/>
    <w:rsid w:val="00560DF9"/>
    <w:rsid w:val="0056115F"/>
    <w:rsid w:val="00561569"/>
    <w:rsid w:val="0056178F"/>
    <w:rsid w:val="00561CE2"/>
    <w:rsid w:val="005620F5"/>
    <w:rsid w:val="005624C4"/>
    <w:rsid w:val="00563700"/>
    <w:rsid w:val="0056394D"/>
    <w:rsid w:val="00564749"/>
    <w:rsid w:val="0056498B"/>
    <w:rsid w:val="00565605"/>
    <w:rsid w:val="005660BF"/>
    <w:rsid w:val="00566355"/>
    <w:rsid w:val="005668EC"/>
    <w:rsid w:val="00566B52"/>
    <w:rsid w:val="005670BA"/>
    <w:rsid w:val="0056799D"/>
    <w:rsid w:val="00570C5E"/>
    <w:rsid w:val="0057167D"/>
    <w:rsid w:val="0057173D"/>
    <w:rsid w:val="005717AE"/>
    <w:rsid w:val="00572BF9"/>
    <w:rsid w:val="00573133"/>
    <w:rsid w:val="00573375"/>
    <w:rsid w:val="0057376A"/>
    <w:rsid w:val="005746F5"/>
    <w:rsid w:val="005763A5"/>
    <w:rsid w:val="005778DF"/>
    <w:rsid w:val="00580C9E"/>
    <w:rsid w:val="00580D1F"/>
    <w:rsid w:val="00580E07"/>
    <w:rsid w:val="005815AE"/>
    <w:rsid w:val="005816EE"/>
    <w:rsid w:val="005820D8"/>
    <w:rsid w:val="0058244E"/>
    <w:rsid w:val="0058289E"/>
    <w:rsid w:val="00582C7F"/>
    <w:rsid w:val="00582F3F"/>
    <w:rsid w:val="0058305A"/>
    <w:rsid w:val="00583810"/>
    <w:rsid w:val="00583AC9"/>
    <w:rsid w:val="00583F6D"/>
    <w:rsid w:val="00584561"/>
    <w:rsid w:val="005857BA"/>
    <w:rsid w:val="005859FF"/>
    <w:rsid w:val="005862EF"/>
    <w:rsid w:val="005865AC"/>
    <w:rsid w:val="00586BA6"/>
    <w:rsid w:val="0058723F"/>
    <w:rsid w:val="0058745E"/>
    <w:rsid w:val="00587462"/>
    <w:rsid w:val="005877CF"/>
    <w:rsid w:val="0058793C"/>
    <w:rsid w:val="00587AE1"/>
    <w:rsid w:val="0059005C"/>
    <w:rsid w:val="00590287"/>
    <w:rsid w:val="00590C2B"/>
    <w:rsid w:val="00591CCA"/>
    <w:rsid w:val="0059216D"/>
    <w:rsid w:val="00592D07"/>
    <w:rsid w:val="0059305C"/>
    <w:rsid w:val="00593518"/>
    <w:rsid w:val="005943D8"/>
    <w:rsid w:val="005946E5"/>
    <w:rsid w:val="00594D99"/>
    <w:rsid w:val="00595D2A"/>
    <w:rsid w:val="00596E2F"/>
    <w:rsid w:val="005970B1"/>
    <w:rsid w:val="00597400"/>
    <w:rsid w:val="00597865"/>
    <w:rsid w:val="005A0287"/>
    <w:rsid w:val="005A0FFF"/>
    <w:rsid w:val="005A1680"/>
    <w:rsid w:val="005A182E"/>
    <w:rsid w:val="005A1A8B"/>
    <w:rsid w:val="005A1BBF"/>
    <w:rsid w:val="005A1E73"/>
    <w:rsid w:val="005A20DE"/>
    <w:rsid w:val="005A22F9"/>
    <w:rsid w:val="005A276D"/>
    <w:rsid w:val="005A36B9"/>
    <w:rsid w:val="005A4B13"/>
    <w:rsid w:val="005A4E86"/>
    <w:rsid w:val="005A6BB6"/>
    <w:rsid w:val="005A74EC"/>
    <w:rsid w:val="005A75ED"/>
    <w:rsid w:val="005A760B"/>
    <w:rsid w:val="005A76EB"/>
    <w:rsid w:val="005B0355"/>
    <w:rsid w:val="005B055E"/>
    <w:rsid w:val="005B19F9"/>
    <w:rsid w:val="005B2006"/>
    <w:rsid w:val="005B30DA"/>
    <w:rsid w:val="005B3619"/>
    <w:rsid w:val="005B3656"/>
    <w:rsid w:val="005B36A8"/>
    <w:rsid w:val="005B4964"/>
    <w:rsid w:val="005B5A44"/>
    <w:rsid w:val="005B62F7"/>
    <w:rsid w:val="005B67E1"/>
    <w:rsid w:val="005B7159"/>
    <w:rsid w:val="005B7407"/>
    <w:rsid w:val="005B74BF"/>
    <w:rsid w:val="005B768D"/>
    <w:rsid w:val="005B7DBF"/>
    <w:rsid w:val="005B7FEF"/>
    <w:rsid w:val="005C0854"/>
    <w:rsid w:val="005C33E3"/>
    <w:rsid w:val="005C4709"/>
    <w:rsid w:val="005C488D"/>
    <w:rsid w:val="005C4D38"/>
    <w:rsid w:val="005C52CE"/>
    <w:rsid w:val="005C5343"/>
    <w:rsid w:val="005C55E7"/>
    <w:rsid w:val="005C571F"/>
    <w:rsid w:val="005C656A"/>
    <w:rsid w:val="005C6C7E"/>
    <w:rsid w:val="005C6FDA"/>
    <w:rsid w:val="005C7D31"/>
    <w:rsid w:val="005D2238"/>
    <w:rsid w:val="005D2415"/>
    <w:rsid w:val="005D28FB"/>
    <w:rsid w:val="005D35C4"/>
    <w:rsid w:val="005D363B"/>
    <w:rsid w:val="005D3ED5"/>
    <w:rsid w:val="005D422F"/>
    <w:rsid w:val="005D43C6"/>
    <w:rsid w:val="005D43F5"/>
    <w:rsid w:val="005D45D2"/>
    <w:rsid w:val="005D488A"/>
    <w:rsid w:val="005D49B2"/>
    <w:rsid w:val="005D5ED0"/>
    <w:rsid w:val="005D6045"/>
    <w:rsid w:val="005D621F"/>
    <w:rsid w:val="005D6D94"/>
    <w:rsid w:val="005D76D9"/>
    <w:rsid w:val="005D7B5D"/>
    <w:rsid w:val="005D7DCE"/>
    <w:rsid w:val="005E006D"/>
    <w:rsid w:val="005E07B3"/>
    <w:rsid w:val="005E0858"/>
    <w:rsid w:val="005E0E38"/>
    <w:rsid w:val="005E11A5"/>
    <w:rsid w:val="005E1EDE"/>
    <w:rsid w:val="005E2D8D"/>
    <w:rsid w:val="005E3BAF"/>
    <w:rsid w:val="005E3F51"/>
    <w:rsid w:val="005E455F"/>
    <w:rsid w:val="005E4E2F"/>
    <w:rsid w:val="005E52E9"/>
    <w:rsid w:val="005E53D4"/>
    <w:rsid w:val="005E6409"/>
    <w:rsid w:val="005E6AE7"/>
    <w:rsid w:val="005E6C7C"/>
    <w:rsid w:val="005E6E2F"/>
    <w:rsid w:val="005E72F5"/>
    <w:rsid w:val="005E7754"/>
    <w:rsid w:val="005F065B"/>
    <w:rsid w:val="005F08DC"/>
    <w:rsid w:val="005F0F06"/>
    <w:rsid w:val="005F0FF7"/>
    <w:rsid w:val="005F11B2"/>
    <w:rsid w:val="005F1300"/>
    <w:rsid w:val="005F1813"/>
    <w:rsid w:val="005F2301"/>
    <w:rsid w:val="005F2C15"/>
    <w:rsid w:val="005F3219"/>
    <w:rsid w:val="005F35BE"/>
    <w:rsid w:val="005F390B"/>
    <w:rsid w:val="005F4557"/>
    <w:rsid w:val="005F484D"/>
    <w:rsid w:val="005F485B"/>
    <w:rsid w:val="005F4AA8"/>
    <w:rsid w:val="005F4BCD"/>
    <w:rsid w:val="005F4F2C"/>
    <w:rsid w:val="005F5555"/>
    <w:rsid w:val="005F5898"/>
    <w:rsid w:val="005F670C"/>
    <w:rsid w:val="005F6B1D"/>
    <w:rsid w:val="005F70AF"/>
    <w:rsid w:val="005F72FA"/>
    <w:rsid w:val="005F746C"/>
    <w:rsid w:val="005F7BCF"/>
    <w:rsid w:val="006007B3"/>
    <w:rsid w:val="006009A9"/>
    <w:rsid w:val="006015D4"/>
    <w:rsid w:val="00601A45"/>
    <w:rsid w:val="00601B4F"/>
    <w:rsid w:val="00601DF8"/>
    <w:rsid w:val="00601F67"/>
    <w:rsid w:val="00602317"/>
    <w:rsid w:val="006029B0"/>
    <w:rsid w:val="00602F20"/>
    <w:rsid w:val="0060320D"/>
    <w:rsid w:val="006035A1"/>
    <w:rsid w:val="006040BB"/>
    <w:rsid w:val="00604B52"/>
    <w:rsid w:val="006053E8"/>
    <w:rsid w:val="00605874"/>
    <w:rsid w:val="0060596A"/>
    <w:rsid w:val="00605998"/>
    <w:rsid w:val="006065ED"/>
    <w:rsid w:val="00606D37"/>
    <w:rsid w:val="006070C3"/>
    <w:rsid w:val="00607488"/>
    <w:rsid w:val="00607C66"/>
    <w:rsid w:val="0061048F"/>
    <w:rsid w:val="006104A7"/>
    <w:rsid w:val="00611456"/>
    <w:rsid w:val="00611855"/>
    <w:rsid w:val="006127D8"/>
    <w:rsid w:val="00612AC2"/>
    <w:rsid w:val="006136E9"/>
    <w:rsid w:val="00613887"/>
    <w:rsid w:val="00614264"/>
    <w:rsid w:val="006143F1"/>
    <w:rsid w:val="00614B21"/>
    <w:rsid w:val="00614C36"/>
    <w:rsid w:val="00614EEF"/>
    <w:rsid w:val="00615B78"/>
    <w:rsid w:val="00615E26"/>
    <w:rsid w:val="006162B7"/>
    <w:rsid w:val="006168E1"/>
    <w:rsid w:val="00617136"/>
    <w:rsid w:val="00617591"/>
    <w:rsid w:val="0061778B"/>
    <w:rsid w:val="006178F2"/>
    <w:rsid w:val="00617FD9"/>
    <w:rsid w:val="0062014C"/>
    <w:rsid w:val="00620B6D"/>
    <w:rsid w:val="00620C41"/>
    <w:rsid w:val="00620CAA"/>
    <w:rsid w:val="00620CEA"/>
    <w:rsid w:val="00620D84"/>
    <w:rsid w:val="00621166"/>
    <w:rsid w:val="006213AD"/>
    <w:rsid w:val="006215F4"/>
    <w:rsid w:val="00621832"/>
    <w:rsid w:val="00621AD9"/>
    <w:rsid w:val="00622827"/>
    <w:rsid w:val="00623450"/>
    <w:rsid w:val="00623A2D"/>
    <w:rsid w:val="006246CC"/>
    <w:rsid w:val="006248C8"/>
    <w:rsid w:val="00624999"/>
    <w:rsid w:val="00626158"/>
    <w:rsid w:val="006271DC"/>
    <w:rsid w:val="00627659"/>
    <w:rsid w:val="0063190A"/>
    <w:rsid w:val="00632332"/>
    <w:rsid w:val="00632C7A"/>
    <w:rsid w:val="00632CE4"/>
    <w:rsid w:val="006332BF"/>
    <w:rsid w:val="00633A4D"/>
    <w:rsid w:val="006346E9"/>
    <w:rsid w:val="00634747"/>
    <w:rsid w:val="00635353"/>
    <w:rsid w:val="00635C1D"/>
    <w:rsid w:val="00635F2D"/>
    <w:rsid w:val="0063730C"/>
    <w:rsid w:val="00640FFF"/>
    <w:rsid w:val="00641D09"/>
    <w:rsid w:val="00641D71"/>
    <w:rsid w:val="00641F44"/>
    <w:rsid w:val="00642F24"/>
    <w:rsid w:val="00643405"/>
    <w:rsid w:val="00643B7F"/>
    <w:rsid w:val="00643F0F"/>
    <w:rsid w:val="006456D6"/>
    <w:rsid w:val="006463DA"/>
    <w:rsid w:val="00647633"/>
    <w:rsid w:val="0064786E"/>
    <w:rsid w:val="006478B4"/>
    <w:rsid w:val="00647A6C"/>
    <w:rsid w:val="006505EA"/>
    <w:rsid w:val="00650CF7"/>
    <w:rsid w:val="006510AA"/>
    <w:rsid w:val="00651254"/>
    <w:rsid w:val="00651BA4"/>
    <w:rsid w:val="00651D68"/>
    <w:rsid w:val="00651FFB"/>
    <w:rsid w:val="00652011"/>
    <w:rsid w:val="00652280"/>
    <w:rsid w:val="006523DA"/>
    <w:rsid w:val="0065273E"/>
    <w:rsid w:val="00652AA8"/>
    <w:rsid w:val="00653509"/>
    <w:rsid w:val="00653A87"/>
    <w:rsid w:val="006547D1"/>
    <w:rsid w:val="00655215"/>
    <w:rsid w:val="00655288"/>
    <w:rsid w:val="006555F1"/>
    <w:rsid w:val="00655799"/>
    <w:rsid w:val="0065599A"/>
    <w:rsid w:val="00655D67"/>
    <w:rsid w:val="00655E6F"/>
    <w:rsid w:val="006562E1"/>
    <w:rsid w:val="00656AE0"/>
    <w:rsid w:val="006570A3"/>
    <w:rsid w:val="0065777B"/>
    <w:rsid w:val="006577BD"/>
    <w:rsid w:val="0065792E"/>
    <w:rsid w:val="00660613"/>
    <w:rsid w:val="00660874"/>
    <w:rsid w:val="00660E2C"/>
    <w:rsid w:val="006613F4"/>
    <w:rsid w:val="006624DF"/>
    <w:rsid w:val="00662984"/>
    <w:rsid w:val="006657B4"/>
    <w:rsid w:val="00665854"/>
    <w:rsid w:val="00665C25"/>
    <w:rsid w:val="00666706"/>
    <w:rsid w:val="00666E11"/>
    <w:rsid w:val="00666F61"/>
    <w:rsid w:val="00667FA4"/>
    <w:rsid w:val="00671842"/>
    <w:rsid w:val="00671B38"/>
    <w:rsid w:val="006721AF"/>
    <w:rsid w:val="006723B1"/>
    <w:rsid w:val="0067260A"/>
    <w:rsid w:val="00672632"/>
    <w:rsid w:val="00672B10"/>
    <w:rsid w:val="00673FFA"/>
    <w:rsid w:val="00674426"/>
    <w:rsid w:val="0067475E"/>
    <w:rsid w:val="00674AEA"/>
    <w:rsid w:val="00674C76"/>
    <w:rsid w:val="00674E8B"/>
    <w:rsid w:val="00675896"/>
    <w:rsid w:val="00676168"/>
    <w:rsid w:val="00676541"/>
    <w:rsid w:val="00677196"/>
    <w:rsid w:val="00677532"/>
    <w:rsid w:val="006804FC"/>
    <w:rsid w:val="00680B86"/>
    <w:rsid w:val="00680C3C"/>
    <w:rsid w:val="00680C83"/>
    <w:rsid w:val="00680CF3"/>
    <w:rsid w:val="00681A46"/>
    <w:rsid w:val="00681FDF"/>
    <w:rsid w:val="006825AA"/>
    <w:rsid w:val="0068335A"/>
    <w:rsid w:val="006833B5"/>
    <w:rsid w:val="006833EB"/>
    <w:rsid w:val="00683EF9"/>
    <w:rsid w:val="00683FB3"/>
    <w:rsid w:val="0068442E"/>
    <w:rsid w:val="0068484B"/>
    <w:rsid w:val="0068556B"/>
    <w:rsid w:val="00685872"/>
    <w:rsid w:val="006865B2"/>
    <w:rsid w:val="006868BD"/>
    <w:rsid w:val="00686F37"/>
    <w:rsid w:val="00687351"/>
    <w:rsid w:val="00687CB8"/>
    <w:rsid w:val="00687FE2"/>
    <w:rsid w:val="006906F4"/>
    <w:rsid w:val="006911AF"/>
    <w:rsid w:val="006914B0"/>
    <w:rsid w:val="006919BA"/>
    <w:rsid w:val="00691A3F"/>
    <w:rsid w:val="00691E61"/>
    <w:rsid w:val="006920C2"/>
    <w:rsid w:val="00692292"/>
    <w:rsid w:val="006924D5"/>
    <w:rsid w:val="00692CA9"/>
    <w:rsid w:val="006939CD"/>
    <w:rsid w:val="00694BAE"/>
    <w:rsid w:val="00694E29"/>
    <w:rsid w:val="00696017"/>
    <w:rsid w:val="00696452"/>
    <w:rsid w:val="00696AC5"/>
    <w:rsid w:val="00697423"/>
    <w:rsid w:val="006979FF"/>
    <w:rsid w:val="006A09F9"/>
    <w:rsid w:val="006A0F0D"/>
    <w:rsid w:val="006A0FB1"/>
    <w:rsid w:val="006A11A8"/>
    <w:rsid w:val="006A11D4"/>
    <w:rsid w:val="006A1A3C"/>
    <w:rsid w:val="006A1AD8"/>
    <w:rsid w:val="006A1B49"/>
    <w:rsid w:val="006A1B98"/>
    <w:rsid w:val="006A1BF6"/>
    <w:rsid w:val="006A1C36"/>
    <w:rsid w:val="006A1EE2"/>
    <w:rsid w:val="006A276D"/>
    <w:rsid w:val="006A28ED"/>
    <w:rsid w:val="006A351F"/>
    <w:rsid w:val="006A3A1C"/>
    <w:rsid w:val="006A3D10"/>
    <w:rsid w:val="006A412B"/>
    <w:rsid w:val="006A42B4"/>
    <w:rsid w:val="006A48B3"/>
    <w:rsid w:val="006A4B40"/>
    <w:rsid w:val="006A4B68"/>
    <w:rsid w:val="006A4FB7"/>
    <w:rsid w:val="006A51E5"/>
    <w:rsid w:val="006A53D0"/>
    <w:rsid w:val="006A56A6"/>
    <w:rsid w:val="006A5754"/>
    <w:rsid w:val="006A61FD"/>
    <w:rsid w:val="006A64D8"/>
    <w:rsid w:val="006A69FC"/>
    <w:rsid w:val="006A6FEC"/>
    <w:rsid w:val="006A702D"/>
    <w:rsid w:val="006A762D"/>
    <w:rsid w:val="006A7CC9"/>
    <w:rsid w:val="006A7F8B"/>
    <w:rsid w:val="006B0612"/>
    <w:rsid w:val="006B0AE6"/>
    <w:rsid w:val="006B0C4F"/>
    <w:rsid w:val="006B0E4C"/>
    <w:rsid w:val="006B2818"/>
    <w:rsid w:val="006B2AC0"/>
    <w:rsid w:val="006B2E45"/>
    <w:rsid w:val="006B2E51"/>
    <w:rsid w:val="006B3160"/>
    <w:rsid w:val="006B33CC"/>
    <w:rsid w:val="006B348A"/>
    <w:rsid w:val="006B3EE7"/>
    <w:rsid w:val="006B3F8C"/>
    <w:rsid w:val="006B4074"/>
    <w:rsid w:val="006B4995"/>
    <w:rsid w:val="006B4E17"/>
    <w:rsid w:val="006B52CC"/>
    <w:rsid w:val="006B7406"/>
    <w:rsid w:val="006B784B"/>
    <w:rsid w:val="006B7BB0"/>
    <w:rsid w:val="006B7DA4"/>
    <w:rsid w:val="006B7ED0"/>
    <w:rsid w:val="006C00C2"/>
    <w:rsid w:val="006C037B"/>
    <w:rsid w:val="006C0666"/>
    <w:rsid w:val="006C0B00"/>
    <w:rsid w:val="006C1222"/>
    <w:rsid w:val="006C1FBA"/>
    <w:rsid w:val="006C23D1"/>
    <w:rsid w:val="006C333E"/>
    <w:rsid w:val="006C3550"/>
    <w:rsid w:val="006C3A0A"/>
    <w:rsid w:val="006C3B5A"/>
    <w:rsid w:val="006C3B90"/>
    <w:rsid w:val="006C3F1D"/>
    <w:rsid w:val="006C4679"/>
    <w:rsid w:val="006C4ABF"/>
    <w:rsid w:val="006C5A24"/>
    <w:rsid w:val="006C5EA7"/>
    <w:rsid w:val="006C68A0"/>
    <w:rsid w:val="006C7009"/>
    <w:rsid w:val="006C71A6"/>
    <w:rsid w:val="006C77A2"/>
    <w:rsid w:val="006D05B5"/>
    <w:rsid w:val="006D1C65"/>
    <w:rsid w:val="006D1D55"/>
    <w:rsid w:val="006D2617"/>
    <w:rsid w:val="006D32B2"/>
    <w:rsid w:val="006D3516"/>
    <w:rsid w:val="006D3A60"/>
    <w:rsid w:val="006D3D53"/>
    <w:rsid w:val="006D4118"/>
    <w:rsid w:val="006D53A3"/>
    <w:rsid w:val="006D5886"/>
    <w:rsid w:val="006D5B36"/>
    <w:rsid w:val="006E0E83"/>
    <w:rsid w:val="006E1660"/>
    <w:rsid w:val="006E2FF2"/>
    <w:rsid w:val="006E33C0"/>
    <w:rsid w:val="006E3696"/>
    <w:rsid w:val="006E40D1"/>
    <w:rsid w:val="006E477F"/>
    <w:rsid w:val="006E478C"/>
    <w:rsid w:val="006E5445"/>
    <w:rsid w:val="006E544E"/>
    <w:rsid w:val="006E579A"/>
    <w:rsid w:val="006E621E"/>
    <w:rsid w:val="006E6A06"/>
    <w:rsid w:val="006E6D19"/>
    <w:rsid w:val="006E74CB"/>
    <w:rsid w:val="006E7610"/>
    <w:rsid w:val="006E7E27"/>
    <w:rsid w:val="006E7E40"/>
    <w:rsid w:val="006F1856"/>
    <w:rsid w:val="006F1960"/>
    <w:rsid w:val="006F1A68"/>
    <w:rsid w:val="006F1DB4"/>
    <w:rsid w:val="006F1E78"/>
    <w:rsid w:val="006F2C1A"/>
    <w:rsid w:val="006F3201"/>
    <w:rsid w:val="006F3B76"/>
    <w:rsid w:val="006F45DB"/>
    <w:rsid w:val="006F46B7"/>
    <w:rsid w:val="006F4A05"/>
    <w:rsid w:val="006F545C"/>
    <w:rsid w:val="006F65E6"/>
    <w:rsid w:val="006F76B2"/>
    <w:rsid w:val="0070036B"/>
    <w:rsid w:val="007010FE"/>
    <w:rsid w:val="007011A1"/>
    <w:rsid w:val="00701B5D"/>
    <w:rsid w:val="00701B7C"/>
    <w:rsid w:val="0070274D"/>
    <w:rsid w:val="00702E11"/>
    <w:rsid w:val="00704B95"/>
    <w:rsid w:val="00705150"/>
    <w:rsid w:val="00705155"/>
    <w:rsid w:val="00710367"/>
    <w:rsid w:val="00710767"/>
    <w:rsid w:val="00711363"/>
    <w:rsid w:val="0071144B"/>
    <w:rsid w:val="00711A71"/>
    <w:rsid w:val="00711E23"/>
    <w:rsid w:val="00712A35"/>
    <w:rsid w:val="00712CCF"/>
    <w:rsid w:val="00713074"/>
    <w:rsid w:val="007132F7"/>
    <w:rsid w:val="007136A9"/>
    <w:rsid w:val="007136D3"/>
    <w:rsid w:val="00713735"/>
    <w:rsid w:val="00713F3C"/>
    <w:rsid w:val="00714095"/>
    <w:rsid w:val="00714329"/>
    <w:rsid w:val="00715BE1"/>
    <w:rsid w:val="007169B0"/>
    <w:rsid w:val="00716A9E"/>
    <w:rsid w:val="007200C1"/>
    <w:rsid w:val="007203C9"/>
    <w:rsid w:val="00720524"/>
    <w:rsid w:val="00720A1B"/>
    <w:rsid w:val="007223DB"/>
    <w:rsid w:val="00722BE0"/>
    <w:rsid w:val="00722DCB"/>
    <w:rsid w:val="0072301F"/>
    <w:rsid w:val="00723176"/>
    <w:rsid w:val="00723925"/>
    <w:rsid w:val="00723952"/>
    <w:rsid w:val="0072435F"/>
    <w:rsid w:val="00724C1E"/>
    <w:rsid w:val="007269DA"/>
    <w:rsid w:val="007270AD"/>
    <w:rsid w:val="00730486"/>
    <w:rsid w:val="00730983"/>
    <w:rsid w:val="00730E53"/>
    <w:rsid w:val="007316D6"/>
    <w:rsid w:val="00731C15"/>
    <w:rsid w:val="007323D6"/>
    <w:rsid w:val="007327F0"/>
    <w:rsid w:val="00733574"/>
    <w:rsid w:val="00734637"/>
    <w:rsid w:val="00734FFC"/>
    <w:rsid w:val="007350CD"/>
    <w:rsid w:val="007350D1"/>
    <w:rsid w:val="007353D5"/>
    <w:rsid w:val="007355E9"/>
    <w:rsid w:val="007358B2"/>
    <w:rsid w:val="00735B9F"/>
    <w:rsid w:val="00735F17"/>
    <w:rsid w:val="00736191"/>
    <w:rsid w:val="00737214"/>
    <w:rsid w:val="0073752E"/>
    <w:rsid w:val="007378DD"/>
    <w:rsid w:val="0074059A"/>
    <w:rsid w:val="007409DB"/>
    <w:rsid w:val="00740FF8"/>
    <w:rsid w:val="0074102C"/>
    <w:rsid w:val="00741750"/>
    <w:rsid w:val="007417A5"/>
    <w:rsid w:val="00742BCA"/>
    <w:rsid w:val="00743408"/>
    <w:rsid w:val="007436BD"/>
    <w:rsid w:val="00743E9C"/>
    <w:rsid w:val="007440B7"/>
    <w:rsid w:val="00744264"/>
    <w:rsid w:val="00745913"/>
    <w:rsid w:val="00745C6B"/>
    <w:rsid w:val="00746A42"/>
    <w:rsid w:val="00747D14"/>
    <w:rsid w:val="00750997"/>
    <w:rsid w:val="00750C8A"/>
    <w:rsid w:val="00750F21"/>
    <w:rsid w:val="00751128"/>
    <w:rsid w:val="00751BDC"/>
    <w:rsid w:val="00751E3D"/>
    <w:rsid w:val="00752ABC"/>
    <w:rsid w:val="00753A7D"/>
    <w:rsid w:val="0075466F"/>
    <w:rsid w:val="00755953"/>
    <w:rsid w:val="00756DB4"/>
    <w:rsid w:val="00757165"/>
    <w:rsid w:val="0075787A"/>
    <w:rsid w:val="00757C48"/>
    <w:rsid w:val="00760AFA"/>
    <w:rsid w:val="00761AE9"/>
    <w:rsid w:val="007625A8"/>
    <w:rsid w:val="00762652"/>
    <w:rsid w:val="007628FD"/>
    <w:rsid w:val="00762AE6"/>
    <w:rsid w:val="00762EF9"/>
    <w:rsid w:val="00763008"/>
    <w:rsid w:val="007641B3"/>
    <w:rsid w:val="00764EC5"/>
    <w:rsid w:val="00765488"/>
    <w:rsid w:val="007658A6"/>
    <w:rsid w:val="00766292"/>
    <w:rsid w:val="00766AA6"/>
    <w:rsid w:val="00767180"/>
    <w:rsid w:val="00767A44"/>
    <w:rsid w:val="00767A96"/>
    <w:rsid w:val="00767B7C"/>
    <w:rsid w:val="00767DF9"/>
    <w:rsid w:val="00770EF5"/>
    <w:rsid w:val="007710C9"/>
    <w:rsid w:val="0077122B"/>
    <w:rsid w:val="007712F8"/>
    <w:rsid w:val="00771D10"/>
    <w:rsid w:val="00773BEB"/>
    <w:rsid w:val="00774B31"/>
    <w:rsid w:val="0077521C"/>
    <w:rsid w:val="0077546F"/>
    <w:rsid w:val="00776214"/>
    <w:rsid w:val="00776231"/>
    <w:rsid w:val="0077682B"/>
    <w:rsid w:val="0077687F"/>
    <w:rsid w:val="00776E57"/>
    <w:rsid w:val="0078063E"/>
    <w:rsid w:val="007808E3"/>
    <w:rsid w:val="00780915"/>
    <w:rsid w:val="0078116D"/>
    <w:rsid w:val="00781472"/>
    <w:rsid w:val="00781FB0"/>
    <w:rsid w:val="00782414"/>
    <w:rsid w:val="00783D45"/>
    <w:rsid w:val="00785023"/>
    <w:rsid w:val="00785249"/>
    <w:rsid w:val="00785758"/>
    <w:rsid w:val="007867B6"/>
    <w:rsid w:val="00786FC0"/>
    <w:rsid w:val="00787122"/>
    <w:rsid w:val="00787BF7"/>
    <w:rsid w:val="00787F44"/>
    <w:rsid w:val="007900FA"/>
    <w:rsid w:val="00790EA5"/>
    <w:rsid w:val="007910D9"/>
    <w:rsid w:val="00791E9C"/>
    <w:rsid w:val="00791F0F"/>
    <w:rsid w:val="0079253A"/>
    <w:rsid w:val="0079341D"/>
    <w:rsid w:val="00794091"/>
    <w:rsid w:val="0079439B"/>
    <w:rsid w:val="00794B6B"/>
    <w:rsid w:val="00795D27"/>
    <w:rsid w:val="007964C5"/>
    <w:rsid w:val="007972D6"/>
    <w:rsid w:val="0079736B"/>
    <w:rsid w:val="00797810"/>
    <w:rsid w:val="00797BC6"/>
    <w:rsid w:val="00797FC4"/>
    <w:rsid w:val="007A0088"/>
    <w:rsid w:val="007A0F48"/>
    <w:rsid w:val="007A1020"/>
    <w:rsid w:val="007A12CB"/>
    <w:rsid w:val="007A1A0E"/>
    <w:rsid w:val="007A218A"/>
    <w:rsid w:val="007A296C"/>
    <w:rsid w:val="007A3AD3"/>
    <w:rsid w:val="007A3CC4"/>
    <w:rsid w:val="007A3D66"/>
    <w:rsid w:val="007A4298"/>
    <w:rsid w:val="007A44F7"/>
    <w:rsid w:val="007A4CD2"/>
    <w:rsid w:val="007A4D49"/>
    <w:rsid w:val="007A521B"/>
    <w:rsid w:val="007A62CF"/>
    <w:rsid w:val="007A7287"/>
    <w:rsid w:val="007A7BB3"/>
    <w:rsid w:val="007B00DB"/>
    <w:rsid w:val="007B0188"/>
    <w:rsid w:val="007B13F1"/>
    <w:rsid w:val="007B2488"/>
    <w:rsid w:val="007B3AD3"/>
    <w:rsid w:val="007B4935"/>
    <w:rsid w:val="007B551E"/>
    <w:rsid w:val="007B5B6C"/>
    <w:rsid w:val="007B5CDC"/>
    <w:rsid w:val="007B6B64"/>
    <w:rsid w:val="007B70B2"/>
    <w:rsid w:val="007B70C0"/>
    <w:rsid w:val="007B70F6"/>
    <w:rsid w:val="007C0FFF"/>
    <w:rsid w:val="007C121D"/>
    <w:rsid w:val="007C1566"/>
    <w:rsid w:val="007C1FBF"/>
    <w:rsid w:val="007C2141"/>
    <w:rsid w:val="007C35CD"/>
    <w:rsid w:val="007C3C32"/>
    <w:rsid w:val="007C3C5A"/>
    <w:rsid w:val="007C467D"/>
    <w:rsid w:val="007C46CB"/>
    <w:rsid w:val="007C4EB5"/>
    <w:rsid w:val="007C6AF1"/>
    <w:rsid w:val="007C7275"/>
    <w:rsid w:val="007D058F"/>
    <w:rsid w:val="007D0784"/>
    <w:rsid w:val="007D1170"/>
    <w:rsid w:val="007D2A10"/>
    <w:rsid w:val="007D2B39"/>
    <w:rsid w:val="007D2BC2"/>
    <w:rsid w:val="007D326A"/>
    <w:rsid w:val="007D39E3"/>
    <w:rsid w:val="007D414C"/>
    <w:rsid w:val="007D4946"/>
    <w:rsid w:val="007D598F"/>
    <w:rsid w:val="007D5A96"/>
    <w:rsid w:val="007D6074"/>
    <w:rsid w:val="007D6872"/>
    <w:rsid w:val="007D7011"/>
    <w:rsid w:val="007D7109"/>
    <w:rsid w:val="007D731B"/>
    <w:rsid w:val="007E0AEC"/>
    <w:rsid w:val="007E0D16"/>
    <w:rsid w:val="007E1615"/>
    <w:rsid w:val="007E1802"/>
    <w:rsid w:val="007E2226"/>
    <w:rsid w:val="007E22F4"/>
    <w:rsid w:val="007E24A5"/>
    <w:rsid w:val="007E26F4"/>
    <w:rsid w:val="007E2A47"/>
    <w:rsid w:val="007E2B65"/>
    <w:rsid w:val="007E3137"/>
    <w:rsid w:val="007E3154"/>
    <w:rsid w:val="007E3175"/>
    <w:rsid w:val="007E320D"/>
    <w:rsid w:val="007E3236"/>
    <w:rsid w:val="007E3325"/>
    <w:rsid w:val="007E4A9B"/>
    <w:rsid w:val="007E5D1C"/>
    <w:rsid w:val="007E5D52"/>
    <w:rsid w:val="007E6EDD"/>
    <w:rsid w:val="007E7786"/>
    <w:rsid w:val="007E7BA1"/>
    <w:rsid w:val="007E7E9B"/>
    <w:rsid w:val="007F03FE"/>
    <w:rsid w:val="007F07BA"/>
    <w:rsid w:val="007F0E36"/>
    <w:rsid w:val="007F1601"/>
    <w:rsid w:val="007F1615"/>
    <w:rsid w:val="007F19B1"/>
    <w:rsid w:val="007F1A5A"/>
    <w:rsid w:val="007F248B"/>
    <w:rsid w:val="007F250D"/>
    <w:rsid w:val="007F32BD"/>
    <w:rsid w:val="007F3D3C"/>
    <w:rsid w:val="007F42F7"/>
    <w:rsid w:val="007F4ADB"/>
    <w:rsid w:val="007F5897"/>
    <w:rsid w:val="007F6273"/>
    <w:rsid w:val="007F62D2"/>
    <w:rsid w:val="007F793B"/>
    <w:rsid w:val="00800B7F"/>
    <w:rsid w:val="00801878"/>
    <w:rsid w:val="0080322F"/>
    <w:rsid w:val="0080518B"/>
    <w:rsid w:val="008053F7"/>
    <w:rsid w:val="00805708"/>
    <w:rsid w:val="00806134"/>
    <w:rsid w:val="00806309"/>
    <w:rsid w:val="008066E8"/>
    <w:rsid w:val="008069E4"/>
    <w:rsid w:val="0080727D"/>
    <w:rsid w:val="00807642"/>
    <w:rsid w:val="008076CA"/>
    <w:rsid w:val="00810C14"/>
    <w:rsid w:val="00810C15"/>
    <w:rsid w:val="00810E66"/>
    <w:rsid w:val="0081122A"/>
    <w:rsid w:val="00812235"/>
    <w:rsid w:val="00813B7D"/>
    <w:rsid w:val="00813C3E"/>
    <w:rsid w:val="00814774"/>
    <w:rsid w:val="008159CF"/>
    <w:rsid w:val="00816C1C"/>
    <w:rsid w:val="00817A2E"/>
    <w:rsid w:val="00817DBB"/>
    <w:rsid w:val="0082013C"/>
    <w:rsid w:val="00820528"/>
    <w:rsid w:val="008207CA"/>
    <w:rsid w:val="00820E95"/>
    <w:rsid w:val="008210C0"/>
    <w:rsid w:val="00821403"/>
    <w:rsid w:val="00821EE5"/>
    <w:rsid w:val="0082259D"/>
    <w:rsid w:val="00822613"/>
    <w:rsid w:val="00822CD9"/>
    <w:rsid w:val="00822E76"/>
    <w:rsid w:val="00822F22"/>
    <w:rsid w:val="0082311B"/>
    <w:rsid w:val="00823447"/>
    <w:rsid w:val="00823548"/>
    <w:rsid w:val="008252F5"/>
    <w:rsid w:val="00825587"/>
    <w:rsid w:val="00825E0A"/>
    <w:rsid w:val="00826113"/>
    <w:rsid w:val="00826D38"/>
    <w:rsid w:val="00826E40"/>
    <w:rsid w:val="008270E6"/>
    <w:rsid w:val="0082791B"/>
    <w:rsid w:val="00827CA9"/>
    <w:rsid w:val="00827D58"/>
    <w:rsid w:val="00827E9A"/>
    <w:rsid w:val="00831398"/>
    <w:rsid w:val="00831674"/>
    <w:rsid w:val="008320C9"/>
    <w:rsid w:val="008328FF"/>
    <w:rsid w:val="008329FD"/>
    <w:rsid w:val="00832FAD"/>
    <w:rsid w:val="008335B3"/>
    <w:rsid w:val="00833678"/>
    <w:rsid w:val="008337AE"/>
    <w:rsid w:val="00833970"/>
    <w:rsid w:val="00835417"/>
    <w:rsid w:val="00835525"/>
    <w:rsid w:val="00836532"/>
    <w:rsid w:val="0083663E"/>
    <w:rsid w:val="0083740D"/>
    <w:rsid w:val="00837EB8"/>
    <w:rsid w:val="008403DC"/>
    <w:rsid w:val="00840D94"/>
    <w:rsid w:val="008414DA"/>
    <w:rsid w:val="0084298B"/>
    <w:rsid w:val="00842A0F"/>
    <w:rsid w:val="00844845"/>
    <w:rsid w:val="00845014"/>
    <w:rsid w:val="00846A32"/>
    <w:rsid w:val="00847220"/>
    <w:rsid w:val="008475BF"/>
    <w:rsid w:val="00850099"/>
    <w:rsid w:val="00850ACB"/>
    <w:rsid w:val="00851063"/>
    <w:rsid w:val="0085108B"/>
    <w:rsid w:val="008519F7"/>
    <w:rsid w:val="00851B15"/>
    <w:rsid w:val="00853F77"/>
    <w:rsid w:val="0085442B"/>
    <w:rsid w:val="008546EB"/>
    <w:rsid w:val="00854720"/>
    <w:rsid w:val="00854A13"/>
    <w:rsid w:val="0085613C"/>
    <w:rsid w:val="00856316"/>
    <w:rsid w:val="0085659E"/>
    <w:rsid w:val="008567B4"/>
    <w:rsid w:val="008568A0"/>
    <w:rsid w:val="00857D08"/>
    <w:rsid w:val="008602A8"/>
    <w:rsid w:val="00860800"/>
    <w:rsid w:val="00860C92"/>
    <w:rsid w:val="00862035"/>
    <w:rsid w:val="00862234"/>
    <w:rsid w:val="008633C4"/>
    <w:rsid w:val="00864309"/>
    <w:rsid w:val="008644D2"/>
    <w:rsid w:val="008652BF"/>
    <w:rsid w:val="00865ABE"/>
    <w:rsid w:val="008660C0"/>
    <w:rsid w:val="008665E1"/>
    <w:rsid w:val="0086666F"/>
    <w:rsid w:val="00866DEF"/>
    <w:rsid w:val="00866F63"/>
    <w:rsid w:val="008674C5"/>
    <w:rsid w:val="008674F5"/>
    <w:rsid w:val="00870271"/>
    <w:rsid w:val="00871E7C"/>
    <w:rsid w:val="00872338"/>
    <w:rsid w:val="00872B41"/>
    <w:rsid w:val="0087309A"/>
    <w:rsid w:val="00873ABE"/>
    <w:rsid w:val="00873E24"/>
    <w:rsid w:val="00874F67"/>
    <w:rsid w:val="008750F3"/>
    <w:rsid w:val="00875719"/>
    <w:rsid w:val="00875CD1"/>
    <w:rsid w:val="00876CEA"/>
    <w:rsid w:val="0087764D"/>
    <w:rsid w:val="0088022B"/>
    <w:rsid w:val="0088058F"/>
    <w:rsid w:val="00880B6C"/>
    <w:rsid w:val="008818DC"/>
    <w:rsid w:val="00881F3E"/>
    <w:rsid w:val="00882515"/>
    <w:rsid w:val="00882E79"/>
    <w:rsid w:val="00882F4D"/>
    <w:rsid w:val="00883AD8"/>
    <w:rsid w:val="00883B32"/>
    <w:rsid w:val="00884182"/>
    <w:rsid w:val="0088454C"/>
    <w:rsid w:val="008856C8"/>
    <w:rsid w:val="008859ED"/>
    <w:rsid w:val="008865B5"/>
    <w:rsid w:val="008901F1"/>
    <w:rsid w:val="008903D5"/>
    <w:rsid w:val="0089063B"/>
    <w:rsid w:val="00890BBA"/>
    <w:rsid w:val="00890F25"/>
    <w:rsid w:val="0089161B"/>
    <w:rsid w:val="0089201B"/>
    <w:rsid w:val="00892E8E"/>
    <w:rsid w:val="008932CF"/>
    <w:rsid w:val="008940E3"/>
    <w:rsid w:val="0089413F"/>
    <w:rsid w:val="00894988"/>
    <w:rsid w:val="008951B1"/>
    <w:rsid w:val="0089587A"/>
    <w:rsid w:val="00896968"/>
    <w:rsid w:val="00897305"/>
    <w:rsid w:val="00897D59"/>
    <w:rsid w:val="008A0054"/>
    <w:rsid w:val="008A008C"/>
    <w:rsid w:val="008A05D4"/>
    <w:rsid w:val="008A1067"/>
    <w:rsid w:val="008A1650"/>
    <w:rsid w:val="008A1DF5"/>
    <w:rsid w:val="008A2406"/>
    <w:rsid w:val="008A257E"/>
    <w:rsid w:val="008A39C0"/>
    <w:rsid w:val="008A3A1C"/>
    <w:rsid w:val="008A4074"/>
    <w:rsid w:val="008A41F9"/>
    <w:rsid w:val="008A4FAE"/>
    <w:rsid w:val="008A5193"/>
    <w:rsid w:val="008A5C17"/>
    <w:rsid w:val="008A620E"/>
    <w:rsid w:val="008A63C5"/>
    <w:rsid w:val="008A6580"/>
    <w:rsid w:val="008A66CA"/>
    <w:rsid w:val="008A6B56"/>
    <w:rsid w:val="008A6DD0"/>
    <w:rsid w:val="008A70F4"/>
    <w:rsid w:val="008A79AD"/>
    <w:rsid w:val="008A7FC3"/>
    <w:rsid w:val="008B008F"/>
    <w:rsid w:val="008B301D"/>
    <w:rsid w:val="008B3126"/>
    <w:rsid w:val="008B3ADA"/>
    <w:rsid w:val="008B3DEF"/>
    <w:rsid w:val="008B40DB"/>
    <w:rsid w:val="008B4572"/>
    <w:rsid w:val="008B65D6"/>
    <w:rsid w:val="008B768E"/>
    <w:rsid w:val="008B7B96"/>
    <w:rsid w:val="008B7FDB"/>
    <w:rsid w:val="008C0918"/>
    <w:rsid w:val="008C1217"/>
    <w:rsid w:val="008C142E"/>
    <w:rsid w:val="008C1865"/>
    <w:rsid w:val="008C1FC8"/>
    <w:rsid w:val="008C1FED"/>
    <w:rsid w:val="008C1FF0"/>
    <w:rsid w:val="008C3195"/>
    <w:rsid w:val="008C3A6A"/>
    <w:rsid w:val="008C4968"/>
    <w:rsid w:val="008C5239"/>
    <w:rsid w:val="008C640C"/>
    <w:rsid w:val="008C7BA2"/>
    <w:rsid w:val="008D0A52"/>
    <w:rsid w:val="008D0D48"/>
    <w:rsid w:val="008D170E"/>
    <w:rsid w:val="008D19F7"/>
    <w:rsid w:val="008D1C96"/>
    <w:rsid w:val="008D33F3"/>
    <w:rsid w:val="008D431A"/>
    <w:rsid w:val="008D4FF5"/>
    <w:rsid w:val="008D5288"/>
    <w:rsid w:val="008D54AE"/>
    <w:rsid w:val="008D645C"/>
    <w:rsid w:val="008D6630"/>
    <w:rsid w:val="008D6D07"/>
    <w:rsid w:val="008D73F3"/>
    <w:rsid w:val="008D7DD8"/>
    <w:rsid w:val="008D7E8A"/>
    <w:rsid w:val="008D7EEF"/>
    <w:rsid w:val="008E062B"/>
    <w:rsid w:val="008E095A"/>
    <w:rsid w:val="008E0E3C"/>
    <w:rsid w:val="008E13CD"/>
    <w:rsid w:val="008E16DA"/>
    <w:rsid w:val="008E18B9"/>
    <w:rsid w:val="008E1B01"/>
    <w:rsid w:val="008E1CAD"/>
    <w:rsid w:val="008E1D5C"/>
    <w:rsid w:val="008E28C5"/>
    <w:rsid w:val="008E28EC"/>
    <w:rsid w:val="008E415D"/>
    <w:rsid w:val="008E49C8"/>
    <w:rsid w:val="008E4CE3"/>
    <w:rsid w:val="008E4D65"/>
    <w:rsid w:val="008E5686"/>
    <w:rsid w:val="008E590B"/>
    <w:rsid w:val="008E665C"/>
    <w:rsid w:val="008E6A04"/>
    <w:rsid w:val="008E6CDC"/>
    <w:rsid w:val="008E7630"/>
    <w:rsid w:val="008F0480"/>
    <w:rsid w:val="008F0BEF"/>
    <w:rsid w:val="008F1090"/>
    <w:rsid w:val="008F11A2"/>
    <w:rsid w:val="008F1B13"/>
    <w:rsid w:val="008F20B0"/>
    <w:rsid w:val="008F21F1"/>
    <w:rsid w:val="008F24BC"/>
    <w:rsid w:val="008F2595"/>
    <w:rsid w:val="008F2B89"/>
    <w:rsid w:val="008F2BF9"/>
    <w:rsid w:val="008F3C4C"/>
    <w:rsid w:val="008F4FDE"/>
    <w:rsid w:val="008F50EC"/>
    <w:rsid w:val="008F6553"/>
    <w:rsid w:val="008F6952"/>
    <w:rsid w:val="008F6B64"/>
    <w:rsid w:val="008F6D5A"/>
    <w:rsid w:val="008F785D"/>
    <w:rsid w:val="00900786"/>
    <w:rsid w:val="009019A6"/>
    <w:rsid w:val="0090226C"/>
    <w:rsid w:val="00902282"/>
    <w:rsid w:val="00902D24"/>
    <w:rsid w:val="009030E1"/>
    <w:rsid w:val="009048A2"/>
    <w:rsid w:val="00904ACC"/>
    <w:rsid w:val="00904BCD"/>
    <w:rsid w:val="00904EEB"/>
    <w:rsid w:val="00905833"/>
    <w:rsid w:val="00905BCB"/>
    <w:rsid w:val="00906F0F"/>
    <w:rsid w:val="009076F5"/>
    <w:rsid w:val="009104C7"/>
    <w:rsid w:val="00910D68"/>
    <w:rsid w:val="00910E9E"/>
    <w:rsid w:val="00910FF1"/>
    <w:rsid w:val="00911118"/>
    <w:rsid w:val="009111D3"/>
    <w:rsid w:val="00912711"/>
    <w:rsid w:val="00912FC2"/>
    <w:rsid w:val="00913678"/>
    <w:rsid w:val="00913949"/>
    <w:rsid w:val="00913D39"/>
    <w:rsid w:val="00913D6E"/>
    <w:rsid w:val="00914556"/>
    <w:rsid w:val="00915017"/>
    <w:rsid w:val="00915069"/>
    <w:rsid w:val="0091527D"/>
    <w:rsid w:val="009155E6"/>
    <w:rsid w:val="00915AC2"/>
    <w:rsid w:val="00916BCB"/>
    <w:rsid w:val="00917297"/>
    <w:rsid w:val="009173F0"/>
    <w:rsid w:val="009214B4"/>
    <w:rsid w:val="009227F1"/>
    <w:rsid w:val="00922C50"/>
    <w:rsid w:val="00923078"/>
    <w:rsid w:val="009232E0"/>
    <w:rsid w:val="009235E5"/>
    <w:rsid w:val="00925232"/>
    <w:rsid w:val="00925453"/>
    <w:rsid w:val="009256AC"/>
    <w:rsid w:val="00925DB7"/>
    <w:rsid w:val="0092626A"/>
    <w:rsid w:val="00926771"/>
    <w:rsid w:val="00926B0F"/>
    <w:rsid w:val="00926C84"/>
    <w:rsid w:val="00927057"/>
    <w:rsid w:val="00927254"/>
    <w:rsid w:val="00927282"/>
    <w:rsid w:val="00930105"/>
    <w:rsid w:val="009309CF"/>
    <w:rsid w:val="00930AA5"/>
    <w:rsid w:val="00930C61"/>
    <w:rsid w:val="00930D46"/>
    <w:rsid w:val="00931671"/>
    <w:rsid w:val="00931849"/>
    <w:rsid w:val="00931B29"/>
    <w:rsid w:val="00931D0C"/>
    <w:rsid w:val="0093291D"/>
    <w:rsid w:val="00932949"/>
    <w:rsid w:val="00932E01"/>
    <w:rsid w:val="00935190"/>
    <w:rsid w:val="00935241"/>
    <w:rsid w:val="00935352"/>
    <w:rsid w:val="00935A14"/>
    <w:rsid w:val="0093666C"/>
    <w:rsid w:val="00937021"/>
    <w:rsid w:val="009373A2"/>
    <w:rsid w:val="009376B0"/>
    <w:rsid w:val="009377C0"/>
    <w:rsid w:val="00940950"/>
    <w:rsid w:val="009409B2"/>
    <w:rsid w:val="00940F10"/>
    <w:rsid w:val="009415D2"/>
    <w:rsid w:val="0094162A"/>
    <w:rsid w:val="009417C1"/>
    <w:rsid w:val="00942CB3"/>
    <w:rsid w:val="009433D1"/>
    <w:rsid w:val="00944606"/>
    <w:rsid w:val="00944879"/>
    <w:rsid w:val="00944E38"/>
    <w:rsid w:val="009451AB"/>
    <w:rsid w:val="00945C65"/>
    <w:rsid w:val="00946105"/>
    <w:rsid w:val="00946C5D"/>
    <w:rsid w:val="00946D76"/>
    <w:rsid w:val="00947692"/>
    <w:rsid w:val="00950F7D"/>
    <w:rsid w:val="00952526"/>
    <w:rsid w:val="00953365"/>
    <w:rsid w:val="009533FD"/>
    <w:rsid w:val="00953513"/>
    <w:rsid w:val="00953BC9"/>
    <w:rsid w:val="00953EBB"/>
    <w:rsid w:val="0095455D"/>
    <w:rsid w:val="009549FE"/>
    <w:rsid w:val="00954E23"/>
    <w:rsid w:val="00954F72"/>
    <w:rsid w:val="00955033"/>
    <w:rsid w:val="00955458"/>
    <w:rsid w:val="009558D0"/>
    <w:rsid w:val="009559D7"/>
    <w:rsid w:val="00955CC4"/>
    <w:rsid w:val="009569FE"/>
    <w:rsid w:val="00956D33"/>
    <w:rsid w:val="00957624"/>
    <w:rsid w:val="00960116"/>
    <w:rsid w:val="00960A14"/>
    <w:rsid w:val="00961B44"/>
    <w:rsid w:val="00962F12"/>
    <w:rsid w:val="00963294"/>
    <w:rsid w:val="00963295"/>
    <w:rsid w:val="00963F26"/>
    <w:rsid w:val="0096406F"/>
    <w:rsid w:val="0096432E"/>
    <w:rsid w:val="00965129"/>
    <w:rsid w:val="009651CC"/>
    <w:rsid w:val="00965A6C"/>
    <w:rsid w:val="00965D88"/>
    <w:rsid w:val="00967C9C"/>
    <w:rsid w:val="00970427"/>
    <w:rsid w:val="00970DC8"/>
    <w:rsid w:val="00971127"/>
    <w:rsid w:val="00971177"/>
    <w:rsid w:val="00971666"/>
    <w:rsid w:val="00971CCA"/>
    <w:rsid w:val="00972087"/>
    <w:rsid w:val="009725A4"/>
    <w:rsid w:val="00972733"/>
    <w:rsid w:val="00972833"/>
    <w:rsid w:val="00973135"/>
    <w:rsid w:val="009737CD"/>
    <w:rsid w:val="009745EF"/>
    <w:rsid w:val="009749B1"/>
    <w:rsid w:val="00974A45"/>
    <w:rsid w:val="00974C7D"/>
    <w:rsid w:val="00974EF9"/>
    <w:rsid w:val="00975372"/>
    <w:rsid w:val="00975E4A"/>
    <w:rsid w:val="009760D6"/>
    <w:rsid w:val="00976A61"/>
    <w:rsid w:val="00976C70"/>
    <w:rsid w:val="00976E00"/>
    <w:rsid w:val="009772C0"/>
    <w:rsid w:val="0097794C"/>
    <w:rsid w:val="00980115"/>
    <w:rsid w:val="00980268"/>
    <w:rsid w:val="00980321"/>
    <w:rsid w:val="0098126A"/>
    <w:rsid w:val="009817E3"/>
    <w:rsid w:val="00983152"/>
    <w:rsid w:val="00983BF9"/>
    <w:rsid w:val="00983D2B"/>
    <w:rsid w:val="009858FC"/>
    <w:rsid w:val="009863E7"/>
    <w:rsid w:val="00986728"/>
    <w:rsid w:val="00986885"/>
    <w:rsid w:val="00986B22"/>
    <w:rsid w:val="0098735C"/>
    <w:rsid w:val="009874F5"/>
    <w:rsid w:val="00987AE5"/>
    <w:rsid w:val="00987B4B"/>
    <w:rsid w:val="0099044B"/>
    <w:rsid w:val="0099122A"/>
    <w:rsid w:val="0099129D"/>
    <w:rsid w:val="00991CE0"/>
    <w:rsid w:val="00992A0A"/>
    <w:rsid w:val="00992F5D"/>
    <w:rsid w:val="009936CB"/>
    <w:rsid w:val="009938F1"/>
    <w:rsid w:val="00993A84"/>
    <w:rsid w:val="00993F5B"/>
    <w:rsid w:val="00993F6F"/>
    <w:rsid w:val="00994C22"/>
    <w:rsid w:val="00995769"/>
    <w:rsid w:val="0099657C"/>
    <w:rsid w:val="00996A4C"/>
    <w:rsid w:val="00996B9C"/>
    <w:rsid w:val="00996CE2"/>
    <w:rsid w:val="009977A7"/>
    <w:rsid w:val="00997EBD"/>
    <w:rsid w:val="00997F14"/>
    <w:rsid w:val="009A094E"/>
    <w:rsid w:val="009A09E7"/>
    <w:rsid w:val="009A0BE3"/>
    <w:rsid w:val="009A1155"/>
    <w:rsid w:val="009A220A"/>
    <w:rsid w:val="009A26C7"/>
    <w:rsid w:val="009A2919"/>
    <w:rsid w:val="009A29F4"/>
    <w:rsid w:val="009A32CE"/>
    <w:rsid w:val="009A34C5"/>
    <w:rsid w:val="009A3943"/>
    <w:rsid w:val="009A3D7B"/>
    <w:rsid w:val="009A3D82"/>
    <w:rsid w:val="009A3E9C"/>
    <w:rsid w:val="009A40F4"/>
    <w:rsid w:val="009A431B"/>
    <w:rsid w:val="009A491E"/>
    <w:rsid w:val="009A4BDE"/>
    <w:rsid w:val="009A547E"/>
    <w:rsid w:val="009A5ACE"/>
    <w:rsid w:val="009A7114"/>
    <w:rsid w:val="009A7277"/>
    <w:rsid w:val="009A785A"/>
    <w:rsid w:val="009A7D1E"/>
    <w:rsid w:val="009A7FDE"/>
    <w:rsid w:val="009B0A4A"/>
    <w:rsid w:val="009B1052"/>
    <w:rsid w:val="009B145B"/>
    <w:rsid w:val="009B2717"/>
    <w:rsid w:val="009B31C2"/>
    <w:rsid w:val="009B3267"/>
    <w:rsid w:val="009B4106"/>
    <w:rsid w:val="009B44AB"/>
    <w:rsid w:val="009B467E"/>
    <w:rsid w:val="009B4868"/>
    <w:rsid w:val="009B523D"/>
    <w:rsid w:val="009B5438"/>
    <w:rsid w:val="009B61BC"/>
    <w:rsid w:val="009B72E2"/>
    <w:rsid w:val="009B7365"/>
    <w:rsid w:val="009B74D3"/>
    <w:rsid w:val="009B75D6"/>
    <w:rsid w:val="009B75F5"/>
    <w:rsid w:val="009B7918"/>
    <w:rsid w:val="009B7925"/>
    <w:rsid w:val="009B7E52"/>
    <w:rsid w:val="009C04A9"/>
    <w:rsid w:val="009C06F9"/>
    <w:rsid w:val="009C0D2D"/>
    <w:rsid w:val="009C32C6"/>
    <w:rsid w:val="009C3C3E"/>
    <w:rsid w:val="009C548A"/>
    <w:rsid w:val="009C5858"/>
    <w:rsid w:val="009C5DCC"/>
    <w:rsid w:val="009C6225"/>
    <w:rsid w:val="009C7283"/>
    <w:rsid w:val="009D078C"/>
    <w:rsid w:val="009D083F"/>
    <w:rsid w:val="009D1735"/>
    <w:rsid w:val="009D1E4B"/>
    <w:rsid w:val="009D2889"/>
    <w:rsid w:val="009D290A"/>
    <w:rsid w:val="009D3007"/>
    <w:rsid w:val="009D3310"/>
    <w:rsid w:val="009D3541"/>
    <w:rsid w:val="009D355D"/>
    <w:rsid w:val="009D37F7"/>
    <w:rsid w:val="009D4799"/>
    <w:rsid w:val="009D4E47"/>
    <w:rsid w:val="009D54B6"/>
    <w:rsid w:val="009D55CE"/>
    <w:rsid w:val="009D5E69"/>
    <w:rsid w:val="009D6A25"/>
    <w:rsid w:val="009D7000"/>
    <w:rsid w:val="009D75C7"/>
    <w:rsid w:val="009D79BF"/>
    <w:rsid w:val="009E0AEE"/>
    <w:rsid w:val="009E0DDD"/>
    <w:rsid w:val="009E0FE1"/>
    <w:rsid w:val="009E2004"/>
    <w:rsid w:val="009E2503"/>
    <w:rsid w:val="009E27D2"/>
    <w:rsid w:val="009E280E"/>
    <w:rsid w:val="009E3271"/>
    <w:rsid w:val="009E3756"/>
    <w:rsid w:val="009E44C5"/>
    <w:rsid w:val="009E4DA7"/>
    <w:rsid w:val="009E58E0"/>
    <w:rsid w:val="009E66B2"/>
    <w:rsid w:val="009E6862"/>
    <w:rsid w:val="009E687E"/>
    <w:rsid w:val="009E6EED"/>
    <w:rsid w:val="009E7A26"/>
    <w:rsid w:val="009E7E0F"/>
    <w:rsid w:val="009F0183"/>
    <w:rsid w:val="009F01AC"/>
    <w:rsid w:val="009F0B8C"/>
    <w:rsid w:val="009F2497"/>
    <w:rsid w:val="009F3223"/>
    <w:rsid w:val="009F3369"/>
    <w:rsid w:val="009F341A"/>
    <w:rsid w:val="009F399B"/>
    <w:rsid w:val="009F47A0"/>
    <w:rsid w:val="009F54AF"/>
    <w:rsid w:val="009F5CFC"/>
    <w:rsid w:val="009F6347"/>
    <w:rsid w:val="009F73F2"/>
    <w:rsid w:val="009F7D94"/>
    <w:rsid w:val="00A00D06"/>
    <w:rsid w:val="00A02647"/>
    <w:rsid w:val="00A03997"/>
    <w:rsid w:val="00A0485A"/>
    <w:rsid w:val="00A04DCC"/>
    <w:rsid w:val="00A04F65"/>
    <w:rsid w:val="00A05D88"/>
    <w:rsid w:val="00A06AC4"/>
    <w:rsid w:val="00A06BFF"/>
    <w:rsid w:val="00A06DE6"/>
    <w:rsid w:val="00A079DD"/>
    <w:rsid w:val="00A110EC"/>
    <w:rsid w:val="00A12860"/>
    <w:rsid w:val="00A12BE8"/>
    <w:rsid w:val="00A138E1"/>
    <w:rsid w:val="00A13901"/>
    <w:rsid w:val="00A13923"/>
    <w:rsid w:val="00A1423E"/>
    <w:rsid w:val="00A143A3"/>
    <w:rsid w:val="00A143E8"/>
    <w:rsid w:val="00A14BEF"/>
    <w:rsid w:val="00A14EF7"/>
    <w:rsid w:val="00A14F3E"/>
    <w:rsid w:val="00A1532D"/>
    <w:rsid w:val="00A1595F"/>
    <w:rsid w:val="00A15AC2"/>
    <w:rsid w:val="00A15AED"/>
    <w:rsid w:val="00A1673D"/>
    <w:rsid w:val="00A16F2A"/>
    <w:rsid w:val="00A16F34"/>
    <w:rsid w:val="00A20A94"/>
    <w:rsid w:val="00A20A9A"/>
    <w:rsid w:val="00A2189D"/>
    <w:rsid w:val="00A218B6"/>
    <w:rsid w:val="00A219DB"/>
    <w:rsid w:val="00A23242"/>
    <w:rsid w:val="00A2337F"/>
    <w:rsid w:val="00A233E7"/>
    <w:rsid w:val="00A2374C"/>
    <w:rsid w:val="00A239A9"/>
    <w:rsid w:val="00A23EC3"/>
    <w:rsid w:val="00A2481A"/>
    <w:rsid w:val="00A25501"/>
    <w:rsid w:val="00A26216"/>
    <w:rsid w:val="00A30168"/>
    <w:rsid w:val="00A3046E"/>
    <w:rsid w:val="00A31252"/>
    <w:rsid w:val="00A319B9"/>
    <w:rsid w:val="00A32D2C"/>
    <w:rsid w:val="00A36E01"/>
    <w:rsid w:val="00A37FC8"/>
    <w:rsid w:val="00A401BF"/>
    <w:rsid w:val="00A40888"/>
    <w:rsid w:val="00A412AD"/>
    <w:rsid w:val="00A420EC"/>
    <w:rsid w:val="00A432A6"/>
    <w:rsid w:val="00A45B2D"/>
    <w:rsid w:val="00A45B73"/>
    <w:rsid w:val="00A465D8"/>
    <w:rsid w:val="00A46C16"/>
    <w:rsid w:val="00A47013"/>
    <w:rsid w:val="00A47356"/>
    <w:rsid w:val="00A479D1"/>
    <w:rsid w:val="00A50612"/>
    <w:rsid w:val="00A50C71"/>
    <w:rsid w:val="00A51120"/>
    <w:rsid w:val="00A51245"/>
    <w:rsid w:val="00A5164A"/>
    <w:rsid w:val="00A518BB"/>
    <w:rsid w:val="00A51ED8"/>
    <w:rsid w:val="00A52309"/>
    <w:rsid w:val="00A529BC"/>
    <w:rsid w:val="00A531F6"/>
    <w:rsid w:val="00A539A5"/>
    <w:rsid w:val="00A5433E"/>
    <w:rsid w:val="00A54751"/>
    <w:rsid w:val="00A54E72"/>
    <w:rsid w:val="00A557C7"/>
    <w:rsid w:val="00A55C43"/>
    <w:rsid w:val="00A568F3"/>
    <w:rsid w:val="00A56F02"/>
    <w:rsid w:val="00A57200"/>
    <w:rsid w:val="00A57576"/>
    <w:rsid w:val="00A575D1"/>
    <w:rsid w:val="00A57EE6"/>
    <w:rsid w:val="00A601B4"/>
    <w:rsid w:val="00A60570"/>
    <w:rsid w:val="00A60A10"/>
    <w:rsid w:val="00A612E3"/>
    <w:rsid w:val="00A61582"/>
    <w:rsid w:val="00A626F0"/>
    <w:rsid w:val="00A62A83"/>
    <w:rsid w:val="00A62BDC"/>
    <w:rsid w:val="00A62F77"/>
    <w:rsid w:val="00A632A3"/>
    <w:rsid w:val="00A638C1"/>
    <w:rsid w:val="00A63FB9"/>
    <w:rsid w:val="00A6400E"/>
    <w:rsid w:val="00A64224"/>
    <w:rsid w:val="00A64534"/>
    <w:rsid w:val="00A646E6"/>
    <w:rsid w:val="00A6475F"/>
    <w:rsid w:val="00A64818"/>
    <w:rsid w:val="00A64866"/>
    <w:rsid w:val="00A64F7B"/>
    <w:rsid w:val="00A650A4"/>
    <w:rsid w:val="00A653F6"/>
    <w:rsid w:val="00A654B3"/>
    <w:rsid w:val="00A6575E"/>
    <w:rsid w:val="00A65B8A"/>
    <w:rsid w:val="00A66296"/>
    <w:rsid w:val="00A665B6"/>
    <w:rsid w:val="00A66F41"/>
    <w:rsid w:val="00A6731F"/>
    <w:rsid w:val="00A67998"/>
    <w:rsid w:val="00A713C9"/>
    <w:rsid w:val="00A716BA"/>
    <w:rsid w:val="00A71836"/>
    <w:rsid w:val="00A720DB"/>
    <w:rsid w:val="00A72A3A"/>
    <w:rsid w:val="00A7501A"/>
    <w:rsid w:val="00A757CE"/>
    <w:rsid w:val="00A769D1"/>
    <w:rsid w:val="00A76B70"/>
    <w:rsid w:val="00A77CFF"/>
    <w:rsid w:val="00A80A11"/>
    <w:rsid w:val="00A810DF"/>
    <w:rsid w:val="00A811B6"/>
    <w:rsid w:val="00A816A5"/>
    <w:rsid w:val="00A817E1"/>
    <w:rsid w:val="00A81C32"/>
    <w:rsid w:val="00A8223C"/>
    <w:rsid w:val="00A82C15"/>
    <w:rsid w:val="00A82D2E"/>
    <w:rsid w:val="00A834A2"/>
    <w:rsid w:val="00A835A5"/>
    <w:rsid w:val="00A841FC"/>
    <w:rsid w:val="00A848EE"/>
    <w:rsid w:val="00A854E4"/>
    <w:rsid w:val="00A857D4"/>
    <w:rsid w:val="00A85A9F"/>
    <w:rsid w:val="00A85B19"/>
    <w:rsid w:val="00A85CDE"/>
    <w:rsid w:val="00A869CD"/>
    <w:rsid w:val="00A870BF"/>
    <w:rsid w:val="00A872ED"/>
    <w:rsid w:val="00A87901"/>
    <w:rsid w:val="00A9039C"/>
    <w:rsid w:val="00A9095C"/>
    <w:rsid w:val="00A9099A"/>
    <w:rsid w:val="00A9221E"/>
    <w:rsid w:val="00A92ABB"/>
    <w:rsid w:val="00A92B87"/>
    <w:rsid w:val="00A937E9"/>
    <w:rsid w:val="00A94576"/>
    <w:rsid w:val="00A94934"/>
    <w:rsid w:val="00A94C7A"/>
    <w:rsid w:val="00A95670"/>
    <w:rsid w:val="00A9580C"/>
    <w:rsid w:val="00A958EA"/>
    <w:rsid w:val="00A966E6"/>
    <w:rsid w:val="00A96A44"/>
    <w:rsid w:val="00A96F37"/>
    <w:rsid w:val="00A97A99"/>
    <w:rsid w:val="00AA06D5"/>
    <w:rsid w:val="00AA0B7D"/>
    <w:rsid w:val="00AA0CCE"/>
    <w:rsid w:val="00AA1194"/>
    <w:rsid w:val="00AA13C2"/>
    <w:rsid w:val="00AA1D5A"/>
    <w:rsid w:val="00AA2540"/>
    <w:rsid w:val="00AA29F7"/>
    <w:rsid w:val="00AA2C4D"/>
    <w:rsid w:val="00AA30F9"/>
    <w:rsid w:val="00AA33A9"/>
    <w:rsid w:val="00AA4154"/>
    <w:rsid w:val="00AA422E"/>
    <w:rsid w:val="00AA4A83"/>
    <w:rsid w:val="00AA4B62"/>
    <w:rsid w:val="00AA5F9F"/>
    <w:rsid w:val="00AA61B2"/>
    <w:rsid w:val="00AA6A48"/>
    <w:rsid w:val="00AA7DC4"/>
    <w:rsid w:val="00AA7E1A"/>
    <w:rsid w:val="00AB025F"/>
    <w:rsid w:val="00AB0289"/>
    <w:rsid w:val="00AB05EF"/>
    <w:rsid w:val="00AB1011"/>
    <w:rsid w:val="00AB1DBC"/>
    <w:rsid w:val="00AB2205"/>
    <w:rsid w:val="00AB25BC"/>
    <w:rsid w:val="00AB33DD"/>
    <w:rsid w:val="00AB394D"/>
    <w:rsid w:val="00AB505D"/>
    <w:rsid w:val="00AB50FB"/>
    <w:rsid w:val="00AB5BFE"/>
    <w:rsid w:val="00AB6042"/>
    <w:rsid w:val="00AB6119"/>
    <w:rsid w:val="00AB6631"/>
    <w:rsid w:val="00AB680D"/>
    <w:rsid w:val="00AB698A"/>
    <w:rsid w:val="00AB6A49"/>
    <w:rsid w:val="00AB6C87"/>
    <w:rsid w:val="00AB6EBE"/>
    <w:rsid w:val="00AB6FD9"/>
    <w:rsid w:val="00AB727D"/>
    <w:rsid w:val="00AB758C"/>
    <w:rsid w:val="00AB7B73"/>
    <w:rsid w:val="00AB7E1C"/>
    <w:rsid w:val="00AC076C"/>
    <w:rsid w:val="00AC08E5"/>
    <w:rsid w:val="00AC0993"/>
    <w:rsid w:val="00AC0B17"/>
    <w:rsid w:val="00AC0CFA"/>
    <w:rsid w:val="00AC13E4"/>
    <w:rsid w:val="00AC1EAB"/>
    <w:rsid w:val="00AC3242"/>
    <w:rsid w:val="00AC3538"/>
    <w:rsid w:val="00AC3A2C"/>
    <w:rsid w:val="00AC3ACB"/>
    <w:rsid w:val="00AC481E"/>
    <w:rsid w:val="00AC4B3B"/>
    <w:rsid w:val="00AC50D7"/>
    <w:rsid w:val="00AC5116"/>
    <w:rsid w:val="00AC58F7"/>
    <w:rsid w:val="00AC597D"/>
    <w:rsid w:val="00AC68A6"/>
    <w:rsid w:val="00AC6904"/>
    <w:rsid w:val="00AC70C5"/>
    <w:rsid w:val="00AD07E6"/>
    <w:rsid w:val="00AD0853"/>
    <w:rsid w:val="00AD14B9"/>
    <w:rsid w:val="00AD1BA8"/>
    <w:rsid w:val="00AD35E2"/>
    <w:rsid w:val="00AD3992"/>
    <w:rsid w:val="00AD3DAD"/>
    <w:rsid w:val="00AD4061"/>
    <w:rsid w:val="00AD468C"/>
    <w:rsid w:val="00AD4A6C"/>
    <w:rsid w:val="00AD4BF0"/>
    <w:rsid w:val="00AD4C4B"/>
    <w:rsid w:val="00AD56EA"/>
    <w:rsid w:val="00AD58BE"/>
    <w:rsid w:val="00AD7190"/>
    <w:rsid w:val="00AD7397"/>
    <w:rsid w:val="00AD7B56"/>
    <w:rsid w:val="00AE0086"/>
    <w:rsid w:val="00AE0370"/>
    <w:rsid w:val="00AE082B"/>
    <w:rsid w:val="00AE0EC8"/>
    <w:rsid w:val="00AE12A2"/>
    <w:rsid w:val="00AE29B6"/>
    <w:rsid w:val="00AE2AFA"/>
    <w:rsid w:val="00AE358B"/>
    <w:rsid w:val="00AE44FE"/>
    <w:rsid w:val="00AE47A4"/>
    <w:rsid w:val="00AE507F"/>
    <w:rsid w:val="00AE523D"/>
    <w:rsid w:val="00AE5418"/>
    <w:rsid w:val="00AE6454"/>
    <w:rsid w:val="00AE6F2D"/>
    <w:rsid w:val="00AE74A6"/>
    <w:rsid w:val="00AF0017"/>
    <w:rsid w:val="00AF0492"/>
    <w:rsid w:val="00AF09E4"/>
    <w:rsid w:val="00AF1568"/>
    <w:rsid w:val="00AF2044"/>
    <w:rsid w:val="00AF24C1"/>
    <w:rsid w:val="00AF2782"/>
    <w:rsid w:val="00AF2D3A"/>
    <w:rsid w:val="00AF354F"/>
    <w:rsid w:val="00AF491A"/>
    <w:rsid w:val="00AF4A0C"/>
    <w:rsid w:val="00AF50C0"/>
    <w:rsid w:val="00AF51CE"/>
    <w:rsid w:val="00AF5DAF"/>
    <w:rsid w:val="00AF5FCA"/>
    <w:rsid w:val="00AF62FA"/>
    <w:rsid w:val="00AF6435"/>
    <w:rsid w:val="00AF6C1A"/>
    <w:rsid w:val="00AF6EEB"/>
    <w:rsid w:val="00AF71E3"/>
    <w:rsid w:val="00AF7841"/>
    <w:rsid w:val="00AF787B"/>
    <w:rsid w:val="00AF7902"/>
    <w:rsid w:val="00B03A1D"/>
    <w:rsid w:val="00B03ADA"/>
    <w:rsid w:val="00B04266"/>
    <w:rsid w:val="00B0520E"/>
    <w:rsid w:val="00B05ECC"/>
    <w:rsid w:val="00B06432"/>
    <w:rsid w:val="00B06570"/>
    <w:rsid w:val="00B065B6"/>
    <w:rsid w:val="00B066A9"/>
    <w:rsid w:val="00B07C36"/>
    <w:rsid w:val="00B07E50"/>
    <w:rsid w:val="00B100C0"/>
    <w:rsid w:val="00B11EFB"/>
    <w:rsid w:val="00B11FB9"/>
    <w:rsid w:val="00B12732"/>
    <w:rsid w:val="00B135FE"/>
    <w:rsid w:val="00B13E6C"/>
    <w:rsid w:val="00B14012"/>
    <w:rsid w:val="00B14F13"/>
    <w:rsid w:val="00B15111"/>
    <w:rsid w:val="00B151D0"/>
    <w:rsid w:val="00B15914"/>
    <w:rsid w:val="00B15B06"/>
    <w:rsid w:val="00B15BF3"/>
    <w:rsid w:val="00B15C40"/>
    <w:rsid w:val="00B15E4A"/>
    <w:rsid w:val="00B1616E"/>
    <w:rsid w:val="00B163F1"/>
    <w:rsid w:val="00B166F7"/>
    <w:rsid w:val="00B1724B"/>
    <w:rsid w:val="00B17568"/>
    <w:rsid w:val="00B17C54"/>
    <w:rsid w:val="00B20D1C"/>
    <w:rsid w:val="00B2158C"/>
    <w:rsid w:val="00B216D1"/>
    <w:rsid w:val="00B22425"/>
    <w:rsid w:val="00B2248C"/>
    <w:rsid w:val="00B22578"/>
    <w:rsid w:val="00B23F01"/>
    <w:rsid w:val="00B24741"/>
    <w:rsid w:val="00B24AAB"/>
    <w:rsid w:val="00B25804"/>
    <w:rsid w:val="00B26878"/>
    <w:rsid w:val="00B2693B"/>
    <w:rsid w:val="00B26F31"/>
    <w:rsid w:val="00B27A9C"/>
    <w:rsid w:val="00B30BC6"/>
    <w:rsid w:val="00B30F87"/>
    <w:rsid w:val="00B31CA4"/>
    <w:rsid w:val="00B326EE"/>
    <w:rsid w:val="00B3296C"/>
    <w:rsid w:val="00B32B1D"/>
    <w:rsid w:val="00B32E6A"/>
    <w:rsid w:val="00B334E9"/>
    <w:rsid w:val="00B33B7C"/>
    <w:rsid w:val="00B34E91"/>
    <w:rsid w:val="00B35AB8"/>
    <w:rsid w:val="00B3621E"/>
    <w:rsid w:val="00B3675E"/>
    <w:rsid w:val="00B37278"/>
    <w:rsid w:val="00B4061D"/>
    <w:rsid w:val="00B40C38"/>
    <w:rsid w:val="00B41362"/>
    <w:rsid w:val="00B420CA"/>
    <w:rsid w:val="00B425FD"/>
    <w:rsid w:val="00B4291A"/>
    <w:rsid w:val="00B43F3A"/>
    <w:rsid w:val="00B43FA3"/>
    <w:rsid w:val="00B44168"/>
    <w:rsid w:val="00B44554"/>
    <w:rsid w:val="00B45B1A"/>
    <w:rsid w:val="00B45C9F"/>
    <w:rsid w:val="00B45F8F"/>
    <w:rsid w:val="00B461B6"/>
    <w:rsid w:val="00B4624F"/>
    <w:rsid w:val="00B475C7"/>
    <w:rsid w:val="00B477D3"/>
    <w:rsid w:val="00B47B95"/>
    <w:rsid w:val="00B47EAA"/>
    <w:rsid w:val="00B50400"/>
    <w:rsid w:val="00B50EE5"/>
    <w:rsid w:val="00B519D8"/>
    <w:rsid w:val="00B522BB"/>
    <w:rsid w:val="00B524E2"/>
    <w:rsid w:val="00B5256E"/>
    <w:rsid w:val="00B54571"/>
    <w:rsid w:val="00B54D30"/>
    <w:rsid w:val="00B57098"/>
    <w:rsid w:val="00B579AB"/>
    <w:rsid w:val="00B57C03"/>
    <w:rsid w:val="00B57D09"/>
    <w:rsid w:val="00B60BAC"/>
    <w:rsid w:val="00B61045"/>
    <w:rsid w:val="00B61249"/>
    <w:rsid w:val="00B61425"/>
    <w:rsid w:val="00B616FC"/>
    <w:rsid w:val="00B61904"/>
    <w:rsid w:val="00B62420"/>
    <w:rsid w:val="00B629F3"/>
    <w:rsid w:val="00B63237"/>
    <w:rsid w:val="00B64087"/>
    <w:rsid w:val="00B65E98"/>
    <w:rsid w:val="00B662A0"/>
    <w:rsid w:val="00B6639C"/>
    <w:rsid w:val="00B66B70"/>
    <w:rsid w:val="00B67C36"/>
    <w:rsid w:val="00B67EF4"/>
    <w:rsid w:val="00B67F32"/>
    <w:rsid w:val="00B701E3"/>
    <w:rsid w:val="00B70B58"/>
    <w:rsid w:val="00B718E9"/>
    <w:rsid w:val="00B71F61"/>
    <w:rsid w:val="00B72F81"/>
    <w:rsid w:val="00B73174"/>
    <w:rsid w:val="00B73718"/>
    <w:rsid w:val="00B73CCB"/>
    <w:rsid w:val="00B7409D"/>
    <w:rsid w:val="00B75042"/>
    <w:rsid w:val="00B7507E"/>
    <w:rsid w:val="00B755FC"/>
    <w:rsid w:val="00B75C99"/>
    <w:rsid w:val="00B76588"/>
    <w:rsid w:val="00B767DB"/>
    <w:rsid w:val="00B81E32"/>
    <w:rsid w:val="00B81F06"/>
    <w:rsid w:val="00B82C62"/>
    <w:rsid w:val="00B82F9D"/>
    <w:rsid w:val="00B835A7"/>
    <w:rsid w:val="00B83BC0"/>
    <w:rsid w:val="00B83FDE"/>
    <w:rsid w:val="00B8572F"/>
    <w:rsid w:val="00B860BC"/>
    <w:rsid w:val="00B8675F"/>
    <w:rsid w:val="00B86AA2"/>
    <w:rsid w:val="00B86AAC"/>
    <w:rsid w:val="00B86B54"/>
    <w:rsid w:val="00B87027"/>
    <w:rsid w:val="00B87203"/>
    <w:rsid w:val="00B8721E"/>
    <w:rsid w:val="00B9092C"/>
    <w:rsid w:val="00B90A64"/>
    <w:rsid w:val="00B90EF4"/>
    <w:rsid w:val="00B91A4C"/>
    <w:rsid w:val="00B91A8F"/>
    <w:rsid w:val="00B9205B"/>
    <w:rsid w:val="00B92090"/>
    <w:rsid w:val="00B9210A"/>
    <w:rsid w:val="00B92EFE"/>
    <w:rsid w:val="00B92F06"/>
    <w:rsid w:val="00B93897"/>
    <w:rsid w:val="00B93D61"/>
    <w:rsid w:val="00B9437A"/>
    <w:rsid w:val="00B94902"/>
    <w:rsid w:val="00B94B50"/>
    <w:rsid w:val="00B94F60"/>
    <w:rsid w:val="00B957FB"/>
    <w:rsid w:val="00B95C3A"/>
    <w:rsid w:val="00B95FAF"/>
    <w:rsid w:val="00B966D0"/>
    <w:rsid w:val="00B96BAC"/>
    <w:rsid w:val="00B96F5C"/>
    <w:rsid w:val="00B96F7B"/>
    <w:rsid w:val="00B97783"/>
    <w:rsid w:val="00BA0259"/>
    <w:rsid w:val="00BA158D"/>
    <w:rsid w:val="00BA2F98"/>
    <w:rsid w:val="00BA2FD6"/>
    <w:rsid w:val="00BA3CEB"/>
    <w:rsid w:val="00BA4272"/>
    <w:rsid w:val="00BA49EF"/>
    <w:rsid w:val="00BA5280"/>
    <w:rsid w:val="00BA55D9"/>
    <w:rsid w:val="00BA59E5"/>
    <w:rsid w:val="00BA6481"/>
    <w:rsid w:val="00BA6676"/>
    <w:rsid w:val="00BA672A"/>
    <w:rsid w:val="00BA6789"/>
    <w:rsid w:val="00BA7504"/>
    <w:rsid w:val="00BA7E5C"/>
    <w:rsid w:val="00BB0B36"/>
    <w:rsid w:val="00BB0F03"/>
    <w:rsid w:val="00BB0F58"/>
    <w:rsid w:val="00BB0F79"/>
    <w:rsid w:val="00BB1021"/>
    <w:rsid w:val="00BB19AA"/>
    <w:rsid w:val="00BB1E88"/>
    <w:rsid w:val="00BB203A"/>
    <w:rsid w:val="00BB280F"/>
    <w:rsid w:val="00BB2D56"/>
    <w:rsid w:val="00BB2DA1"/>
    <w:rsid w:val="00BB305B"/>
    <w:rsid w:val="00BB31F3"/>
    <w:rsid w:val="00BB380C"/>
    <w:rsid w:val="00BB4602"/>
    <w:rsid w:val="00BB54B2"/>
    <w:rsid w:val="00BB5564"/>
    <w:rsid w:val="00BB5872"/>
    <w:rsid w:val="00BB58B1"/>
    <w:rsid w:val="00BB611C"/>
    <w:rsid w:val="00BB61E7"/>
    <w:rsid w:val="00BB7B5B"/>
    <w:rsid w:val="00BB7C86"/>
    <w:rsid w:val="00BB7FAD"/>
    <w:rsid w:val="00BC037D"/>
    <w:rsid w:val="00BC175C"/>
    <w:rsid w:val="00BC1A76"/>
    <w:rsid w:val="00BC1BE0"/>
    <w:rsid w:val="00BC241B"/>
    <w:rsid w:val="00BC2594"/>
    <w:rsid w:val="00BC2811"/>
    <w:rsid w:val="00BC2FC5"/>
    <w:rsid w:val="00BC33F2"/>
    <w:rsid w:val="00BC3A70"/>
    <w:rsid w:val="00BC40D7"/>
    <w:rsid w:val="00BC41CC"/>
    <w:rsid w:val="00BC4413"/>
    <w:rsid w:val="00BC459D"/>
    <w:rsid w:val="00BC4D22"/>
    <w:rsid w:val="00BC508E"/>
    <w:rsid w:val="00BC531D"/>
    <w:rsid w:val="00BC632C"/>
    <w:rsid w:val="00BC75F3"/>
    <w:rsid w:val="00BD01BB"/>
    <w:rsid w:val="00BD0C49"/>
    <w:rsid w:val="00BD14BF"/>
    <w:rsid w:val="00BD14E9"/>
    <w:rsid w:val="00BD15A2"/>
    <w:rsid w:val="00BD195C"/>
    <w:rsid w:val="00BD19BB"/>
    <w:rsid w:val="00BD1B72"/>
    <w:rsid w:val="00BD28F7"/>
    <w:rsid w:val="00BD329F"/>
    <w:rsid w:val="00BD38B4"/>
    <w:rsid w:val="00BD3A51"/>
    <w:rsid w:val="00BD40AB"/>
    <w:rsid w:val="00BD4DF6"/>
    <w:rsid w:val="00BD5162"/>
    <w:rsid w:val="00BD537C"/>
    <w:rsid w:val="00BD53DD"/>
    <w:rsid w:val="00BD5ED3"/>
    <w:rsid w:val="00BD5EE3"/>
    <w:rsid w:val="00BD60D6"/>
    <w:rsid w:val="00BD6A4E"/>
    <w:rsid w:val="00BD7154"/>
    <w:rsid w:val="00BD76B8"/>
    <w:rsid w:val="00BD7E86"/>
    <w:rsid w:val="00BE0AFA"/>
    <w:rsid w:val="00BE1221"/>
    <w:rsid w:val="00BE16FC"/>
    <w:rsid w:val="00BE1B93"/>
    <w:rsid w:val="00BE1BBF"/>
    <w:rsid w:val="00BE1CE2"/>
    <w:rsid w:val="00BE22EB"/>
    <w:rsid w:val="00BE2486"/>
    <w:rsid w:val="00BE2868"/>
    <w:rsid w:val="00BE294B"/>
    <w:rsid w:val="00BE2C28"/>
    <w:rsid w:val="00BE332C"/>
    <w:rsid w:val="00BE3D56"/>
    <w:rsid w:val="00BE7BF2"/>
    <w:rsid w:val="00BE7C56"/>
    <w:rsid w:val="00BF0DB1"/>
    <w:rsid w:val="00BF0F73"/>
    <w:rsid w:val="00BF1FC7"/>
    <w:rsid w:val="00BF2CE3"/>
    <w:rsid w:val="00BF2E27"/>
    <w:rsid w:val="00BF2FF9"/>
    <w:rsid w:val="00BF31A5"/>
    <w:rsid w:val="00BF336E"/>
    <w:rsid w:val="00BF47A6"/>
    <w:rsid w:val="00BF4CD2"/>
    <w:rsid w:val="00BF555C"/>
    <w:rsid w:val="00BF6955"/>
    <w:rsid w:val="00BF698F"/>
    <w:rsid w:val="00BF6D53"/>
    <w:rsid w:val="00BF70A7"/>
    <w:rsid w:val="00BF70B9"/>
    <w:rsid w:val="00BF7FB9"/>
    <w:rsid w:val="00C00307"/>
    <w:rsid w:val="00C00AD5"/>
    <w:rsid w:val="00C01089"/>
    <w:rsid w:val="00C019DC"/>
    <w:rsid w:val="00C02024"/>
    <w:rsid w:val="00C021D0"/>
    <w:rsid w:val="00C04CF3"/>
    <w:rsid w:val="00C051C6"/>
    <w:rsid w:val="00C057DA"/>
    <w:rsid w:val="00C05B62"/>
    <w:rsid w:val="00C05E82"/>
    <w:rsid w:val="00C063E0"/>
    <w:rsid w:val="00C0670D"/>
    <w:rsid w:val="00C06A22"/>
    <w:rsid w:val="00C06B1E"/>
    <w:rsid w:val="00C0783B"/>
    <w:rsid w:val="00C07B67"/>
    <w:rsid w:val="00C10324"/>
    <w:rsid w:val="00C10868"/>
    <w:rsid w:val="00C10D81"/>
    <w:rsid w:val="00C10EBA"/>
    <w:rsid w:val="00C12431"/>
    <w:rsid w:val="00C1402D"/>
    <w:rsid w:val="00C1449C"/>
    <w:rsid w:val="00C145B9"/>
    <w:rsid w:val="00C14F56"/>
    <w:rsid w:val="00C16F19"/>
    <w:rsid w:val="00C207D6"/>
    <w:rsid w:val="00C21462"/>
    <w:rsid w:val="00C22C09"/>
    <w:rsid w:val="00C23A3E"/>
    <w:rsid w:val="00C23B59"/>
    <w:rsid w:val="00C23B92"/>
    <w:rsid w:val="00C24144"/>
    <w:rsid w:val="00C24423"/>
    <w:rsid w:val="00C24C46"/>
    <w:rsid w:val="00C25CE5"/>
    <w:rsid w:val="00C264AB"/>
    <w:rsid w:val="00C26AB4"/>
    <w:rsid w:val="00C26CC6"/>
    <w:rsid w:val="00C26E72"/>
    <w:rsid w:val="00C26FE7"/>
    <w:rsid w:val="00C30390"/>
    <w:rsid w:val="00C308F8"/>
    <w:rsid w:val="00C309DD"/>
    <w:rsid w:val="00C311F0"/>
    <w:rsid w:val="00C32213"/>
    <w:rsid w:val="00C3286D"/>
    <w:rsid w:val="00C32E17"/>
    <w:rsid w:val="00C33024"/>
    <w:rsid w:val="00C34272"/>
    <w:rsid w:val="00C3532F"/>
    <w:rsid w:val="00C35EC6"/>
    <w:rsid w:val="00C36265"/>
    <w:rsid w:val="00C365C8"/>
    <w:rsid w:val="00C368EC"/>
    <w:rsid w:val="00C36B8C"/>
    <w:rsid w:val="00C37697"/>
    <w:rsid w:val="00C37F06"/>
    <w:rsid w:val="00C400D4"/>
    <w:rsid w:val="00C40E8B"/>
    <w:rsid w:val="00C41CC2"/>
    <w:rsid w:val="00C427B5"/>
    <w:rsid w:val="00C42ED7"/>
    <w:rsid w:val="00C430D5"/>
    <w:rsid w:val="00C433D7"/>
    <w:rsid w:val="00C43A23"/>
    <w:rsid w:val="00C44012"/>
    <w:rsid w:val="00C440B0"/>
    <w:rsid w:val="00C440BC"/>
    <w:rsid w:val="00C4443E"/>
    <w:rsid w:val="00C44817"/>
    <w:rsid w:val="00C44CB6"/>
    <w:rsid w:val="00C45B64"/>
    <w:rsid w:val="00C45B8E"/>
    <w:rsid w:val="00C45DEE"/>
    <w:rsid w:val="00C47F92"/>
    <w:rsid w:val="00C507DA"/>
    <w:rsid w:val="00C509AF"/>
    <w:rsid w:val="00C50FDC"/>
    <w:rsid w:val="00C51276"/>
    <w:rsid w:val="00C51C19"/>
    <w:rsid w:val="00C51D6B"/>
    <w:rsid w:val="00C5226C"/>
    <w:rsid w:val="00C52612"/>
    <w:rsid w:val="00C5287E"/>
    <w:rsid w:val="00C53628"/>
    <w:rsid w:val="00C53727"/>
    <w:rsid w:val="00C53E33"/>
    <w:rsid w:val="00C55215"/>
    <w:rsid w:val="00C5557F"/>
    <w:rsid w:val="00C55C7C"/>
    <w:rsid w:val="00C55E86"/>
    <w:rsid w:val="00C56282"/>
    <w:rsid w:val="00C569B8"/>
    <w:rsid w:val="00C573A4"/>
    <w:rsid w:val="00C57B07"/>
    <w:rsid w:val="00C57F97"/>
    <w:rsid w:val="00C600F6"/>
    <w:rsid w:val="00C60AC1"/>
    <w:rsid w:val="00C61D7D"/>
    <w:rsid w:val="00C61F26"/>
    <w:rsid w:val="00C61F7B"/>
    <w:rsid w:val="00C62D72"/>
    <w:rsid w:val="00C6301A"/>
    <w:rsid w:val="00C6398F"/>
    <w:rsid w:val="00C646E9"/>
    <w:rsid w:val="00C6539D"/>
    <w:rsid w:val="00C658F3"/>
    <w:rsid w:val="00C65A56"/>
    <w:rsid w:val="00C65BD3"/>
    <w:rsid w:val="00C65DBB"/>
    <w:rsid w:val="00C666F3"/>
    <w:rsid w:val="00C66836"/>
    <w:rsid w:val="00C67925"/>
    <w:rsid w:val="00C70139"/>
    <w:rsid w:val="00C7104D"/>
    <w:rsid w:val="00C72ACE"/>
    <w:rsid w:val="00C730E2"/>
    <w:rsid w:val="00C73EA6"/>
    <w:rsid w:val="00C74261"/>
    <w:rsid w:val="00C746F0"/>
    <w:rsid w:val="00C749D7"/>
    <w:rsid w:val="00C771BC"/>
    <w:rsid w:val="00C775DD"/>
    <w:rsid w:val="00C77CEC"/>
    <w:rsid w:val="00C77D9A"/>
    <w:rsid w:val="00C80439"/>
    <w:rsid w:val="00C816F1"/>
    <w:rsid w:val="00C819EC"/>
    <w:rsid w:val="00C81EAF"/>
    <w:rsid w:val="00C81F7B"/>
    <w:rsid w:val="00C82207"/>
    <w:rsid w:val="00C82222"/>
    <w:rsid w:val="00C82988"/>
    <w:rsid w:val="00C82D07"/>
    <w:rsid w:val="00C85087"/>
    <w:rsid w:val="00C857EC"/>
    <w:rsid w:val="00C85A4B"/>
    <w:rsid w:val="00C86696"/>
    <w:rsid w:val="00C8762E"/>
    <w:rsid w:val="00C879EC"/>
    <w:rsid w:val="00C9046A"/>
    <w:rsid w:val="00C9089B"/>
    <w:rsid w:val="00C9155E"/>
    <w:rsid w:val="00C91722"/>
    <w:rsid w:val="00C91778"/>
    <w:rsid w:val="00C923CC"/>
    <w:rsid w:val="00C92CB8"/>
    <w:rsid w:val="00C92FF7"/>
    <w:rsid w:val="00C9301A"/>
    <w:rsid w:val="00C937D2"/>
    <w:rsid w:val="00C94007"/>
    <w:rsid w:val="00C94B8F"/>
    <w:rsid w:val="00C94EE1"/>
    <w:rsid w:val="00C9531F"/>
    <w:rsid w:val="00C955A9"/>
    <w:rsid w:val="00C9574C"/>
    <w:rsid w:val="00C95ABA"/>
    <w:rsid w:val="00C9603C"/>
    <w:rsid w:val="00C9720B"/>
    <w:rsid w:val="00C9730C"/>
    <w:rsid w:val="00C97487"/>
    <w:rsid w:val="00C97777"/>
    <w:rsid w:val="00CA0640"/>
    <w:rsid w:val="00CA06AF"/>
    <w:rsid w:val="00CA078E"/>
    <w:rsid w:val="00CA087D"/>
    <w:rsid w:val="00CA0979"/>
    <w:rsid w:val="00CA0FEB"/>
    <w:rsid w:val="00CA1400"/>
    <w:rsid w:val="00CA1468"/>
    <w:rsid w:val="00CA15F4"/>
    <w:rsid w:val="00CA1D92"/>
    <w:rsid w:val="00CA2412"/>
    <w:rsid w:val="00CA26F6"/>
    <w:rsid w:val="00CA2C76"/>
    <w:rsid w:val="00CA2E74"/>
    <w:rsid w:val="00CA357C"/>
    <w:rsid w:val="00CA37D5"/>
    <w:rsid w:val="00CA4664"/>
    <w:rsid w:val="00CA55DC"/>
    <w:rsid w:val="00CA7D1F"/>
    <w:rsid w:val="00CB08DE"/>
    <w:rsid w:val="00CB1638"/>
    <w:rsid w:val="00CB1FE3"/>
    <w:rsid w:val="00CB31AC"/>
    <w:rsid w:val="00CB3A33"/>
    <w:rsid w:val="00CB49A5"/>
    <w:rsid w:val="00CB4A68"/>
    <w:rsid w:val="00CB4F89"/>
    <w:rsid w:val="00CB5EC2"/>
    <w:rsid w:val="00CB646F"/>
    <w:rsid w:val="00CB7DF0"/>
    <w:rsid w:val="00CC00A5"/>
    <w:rsid w:val="00CC125E"/>
    <w:rsid w:val="00CC24E6"/>
    <w:rsid w:val="00CC264E"/>
    <w:rsid w:val="00CC3A5A"/>
    <w:rsid w:val="00CC3B88"/>
    <w:rsid w:val="00CC4290"/>
    <w:rsid w:val="00CC4827"/>
    <w:rsid w:val="00CC4D48"/>
    <w:rsid w:val="00CC5A57"/>
    <w:rsid w:val="00CC6C0F"/>
    <w:rsid w:val="00CC78BD"/>
    <w:rsid w:val="00CD0940"/>
    <w:rsid w:val="00CD0CEB"/>
    <w:rsid w:val="00CD0D9B"/>
    <w:rsid w:val="00CD121B"/>
    <w:rsid w:val="00CD1F27"/>
    <w:rsid w:val="00CD2396"/>
    <w:rsid w:val="00CD2539"/>
    <w:rsid w:val="00CD2AE0"/>
    <w:rsid w:val="00CD50AA"/>
    <w:rsid w:val="00CD53DC"/>
    <w:rsid w:val="00CD5477"/>
    <w:rsid w:val="00CD5631"/>
    <w:rsid w:val="00CD59B2"/>
    <w:rsid w:val="00CD5B87"/>
    <w:rsid w:val="00CD7DA5"/>
    <w:rsid w:val="00CD7E94"/>
    <w:rsid w:val="00CE06C4"/>
    <w:rsid w:val="00CE0D9A"/>
    <w:rsid w:val="00CE0FFF"/>
    <w:rsid w:val="00CE12BF"/>
    <w:rsid w:val="00CE1B3D"/>
    <w:rsid w:val="00CE22FF"/>
    <w:rsid w:val="00CE26E3"/>
    <w:rsid w:val="00CE3524"/>
    <w:rsid w:val="00CE36FA"/>
    <w:rsid w:val="00CE37F6"/>
    <w:rsid w:val="00CE38C6"/>
    <w:rsid w:val="00CE3988"/>
    <w:rsid w:val="00CE3F49"/>
    <w:rsid w:val="00CE3F75"/>
    <w:rsid w:val="00CE4011"/>
    <w:rsid w:val="00CE41AC"/>
    <w:rsid w:val="00CE4D3B"/>
    <w:rsid w:val="00CE4DB2"/>
    <w:rsid w:val="00CE52EE"/>
    <w:rsid w:val="00CE629C"/>
    <w:rsid w:val="00CE64F8"/>
    <w:rsid w:val="00CE67F8"/>
    <w:rsid w:val="00CE7A49"/>
    <w:rsid w:val="00CE7C1F"/>
    <w:rsid w:val="00CE7C4D"/>
    <w:rsid w:val="00CF0049"/>
    <w:rsid w:val="00CF05A7"/>
    <w:rsid w:val="00CF0DD4"/>
    <w:rsid w:val="00CF113D"/>
    <w:rsid w:val="00CF17E0"/>
    <w:rsid w:val="00CF17FB"/>
    <w:rsid w:val="00CF24A6"/>
    <w:rsid w:val="00CF27E6"/>
    <w:rsid w:val="00CF2A64"/>
    <w:rsid w:val="00CF2C8E"/>
    <w:rsid w:val="00CF4089"/>
    <w:rsid w:val="00CF4B55"/>
    <w:rsid w:val="00CF5465"/>
    <w:rsid w:val="00CF690E"/>
    <w:rsid w:val="00CF6EEC"/>
    <w:rsid w:val="00CF7486"/>
    <w:rsid w:val="00CF75FF"/>
    <w:rsid w:val="00CF77F4"/>
    <w:rsid w:val="00CF78A1"/>
    <w:rsid w:val="00CF7FA4"/>
    <w:rsid w:val="00D00BA5"/>
    <w:rsid w:val="00D0209C"/>
    <w:rsid w:val="00D027A8"/>
    <w:rsid w:val="00D04267"/>
    <w:rsid w:val="00D04D06"/>
    <w:rsid w:val="00D04E2B"/>
    <w:rsid w:val="00D0527F"/>
    <w:rsid w:val="00D0542D"/>
    <w:rsid w:val="00D0641F"/>
    <w:rsid w:val="00D070E5"/>
    <w:rsid w:val="00D07445"/>
    <w:rsid w:val="00D07B0A"/>
    <w:rsid w:val="00D107CD"/>
    <w:rsid w:val="00D10819"/>
    <w:rsid w:val="00D10A58"/>
    <w:rsid w:val="00D115C3"/>
    <w:rsid w:val="00D11A90"/>
    <w:rsid w:val="00D12339"/>
    <w:rsid w:val="00D12663"/>
    <w:rsid w:val="00D12C95"/>
    <w:rsid w:val="00D130AE"/>
    <w:rsid w:val="00D14C4D"/>
    <w:rsid w:val="00D151CC"/>
    <w:rsid w:val="00D15419"/>
    <w:rsid w:val="00D15545"/>
    <w:rsid w:val="00D1576D"/>
    <w:rsid w:val="00D15890"/>
    <w:rsid w:val="00D1728E"/>
    <w:rsid w:val="00D17875"/>
    <w:rsid w:val="00D17F91"/>
    <w:rsid w:val="00D20D72"/>
    <w:rsid w:val="00D21116"/>
    <w:rsid w:val="00D212C9"/>
    <w:rsid w:val="00D216F9"/>
    <w:rsid w:val="00D21B99"/>
    <w:rsid w:val="00D22A5B"/>
    <w:rsid w:val="00D232ED"/>
    <w:rsid w:val="00D249EA"/>
    <w:rsid w:val="00D257EF"/>
    <w:rsid w:val="00D26F4C"/>
    <w:rsid w:val="00D272DA"/>
    <w:rsid w:val="00D27C63"/>
    <w:rsid w:val="00D27D0E"/>
    <w:rsid w:val="00D27D35"/>
    <w:rsid w:val="00D30915"/>
    <w:rsid w:val="00D30A6F"/>
    <w:rsid w:val="00D3114B"/>
    <w:rsid w:val="00D31274"/>
    <w:rsid w:val="00D31319"/>
    <w:rsid w:val="00D31EA6"/>
    <w:rsid w:val="00D3205F"/>
    <w:rsid w:val="00D32A6B"/>
    <w:rsid w:val="00D32EE7"/>
    <w:rsid w:val="00D33220"/>
    <w:rsid w:val="00D33298"/>
    <w:rsid w:val="00D33861"/>
    <w:rsid w:val="00D33C5A"/>
    <w:rsid w:val="00D33F1C"/>
    <w:rsid w:val="00D34B94"/>
    <w:rsid w:val="00D34E51"/>
    <w:rsid w:val="00D350EA"/>
    <w:rsid w:val="00D352C5"/>
    <w:rsid w:val="00D355C5"/>
    <w:rsid w:val="00D3602B"/>
    <w:rsid w:val="00D37480"/>
    <w:rsid w:val="00D3754D"/>
    <w:rsid w:val="00D376F5"/>
    <w:rsid w:val="00D40D27"/>
    <w:rsid w:val="00D40E87"/>
    <w:rsid w:val="00D41560"/>
    <w:rsid w:val="00D417B7"/>
    <w:rsid w:val="00D418AE"/>
    <w:rsid w:val="00D41AD9"/>
    <w:rsid w:val="00D41D2B"/>
    <w:rsid w:val="00D41DC9"/>
    <w:rsid w:val="00D4241D"/>
    <w:rsid w:val="00D42B1D"/>
    <w:rsid w:val="00D4316D"/>
    <w:rsid w:val="00D449F1"/>
    <w:rsid w:val="00D45912"/>
    <w:rsid w:val="00D461E1"/>
    <w:rsid w:val="00D46CC4"/>
    <w:rsid w:val="00D46F61"/>
    <w:rsid w:val="00D47BDF"/>
    <w:rsid w:val="00D5062B"/>
    <w:rsid w:val="00D51237"/>
    <w:rsid w:val="00D516AC"/>
    <w:rsid w:val="00D51A44"/>
    <w:rsid w:val="00D51D5C"/>
    <w:rsid w:val="00D52EB5"/>
    <w:rsid w:val="00D558F6"/>
    <w:rsid w:val="00D562C9"/>
    <w:rsid w:val="00D5631A"/>
    <w:rsid w:val="00D56329"/>
    <w:rsid w:val="00D56664"/>
    <w:rsid w:val="00D566C5"/>
    <w:rsid w:val="00D566CF"/>
    <w:rsid w:val="00D602F2"/>
    <w:rsid w:val="00D60ABC"/>
    <w:rsid w:val="00D618DA"/>
    <w:rsid w:val="00D61EA0"/>
    <w:rsid w:val="00D61FB2"/>
    <w:rsid w:val="00D62027"/>
    <w:rsid w:val="00D6215C"/>
    <w:rsid w:val="00D62988"/>
    <w:rsid w:val="00D62DF0"/>
    <w:rsid w:val="00D63326"/>
    <w:rsid w:val="00D64974"/>
    <w:rsid w:val="00D65154"/>
    <w:rsid w:val="00D652A6"/>
    <w:rsid w:val="00D66A0A"/>
    <w:rsid w:val="00D671D6"/>
    <w:rsid w:val="00D67209"/>
    <w:rsid w:val="00D67338"/>
    <w:rsid w:val="00D67342"/>
    <w:rsid w:val="00D67587"/>
    <w:rsid w:val="00D678FB"/>
    <w:rsid w:val="00D678FE"/>
    <w:rsid w:val="00D7040E"/>
    <w:rsid w:val="00D709C0"/>
    <w:rsid w:val="00D70D3C"/>
    <w:rsid w:val="00D714FD"/>
    <w:rsid w:val="00D71EEA"/>
    <w:rsid w:val="00D72CDF"/>
    <w:rsid w:val="00D73BDD"/>
    <w:rsid w:val="00D73DD7"/>
    <w:rsid w:val="00D748F3"/>
    <w:rsid w:val="00D74E40"/>
    <w:rsid w:val="00D74F37"/>
    <w:rsid w:val="00D7503F"/>
    <w:rsid w:val="00D7649F"/>
    <w:rsid w:val="00D76C0B"/>
    <w:rsid w:val="00D77ACD"/>
    <w:rsid w:val="00D77D4C"/>
    <w:rsid w:val="00D80336"/>
    <w:rsid w:val="00D807F3"/>
    <w:rsid w:val="00D80833"/>
    <w:rsid w:val="00D80A2D"/>
    <w:rsid w:val="00D81A3B"/>
    <w:rsid w:val="00D81F3C"/>
    <w:rsid w:val="00D81F43"/>
    <w:rsid w:val="00D8243F"/>
    <w:rsid w:val="00D82DD3"/>
    <w:rsid w:val="00D8305E"/>
    <w:rsid w:val="00D830F9"/>
    <w:rsid w:val="00D83591"/>
    <w:rsid w:val="00D83995"/>
    <w:rsid w:val="00D83A60"/>
    <w:rsid w:val="00D85B48"/>
    <w:rsid w:val="00D8641A"/>
    <w:rsid w:val="00D86495"/>
    <w:rsid w:val="00D86762"/>
    <w:rsid w:val="00D874D6"/>
    <w:rsid w:val="00D87758"/>
    <w:rsid w:val="00D87A47"/>
    <w:rsid w:val="00D900E7"/>
    <w:rsid w:val="00D91298"/>
    <w:rsid w:val="00D91553"/>
    <w:rsid w:val="00D92293"/>
    <w:rsid w:val="00D92A47"/>
    <w:rsid w:val="00D92F47"/>
    <w:rsid w:val="00D9361C"/>
    <w:rsid w:val="00D93B8D"/>
    <w:rsid w:val="00D9549E"/>
    <w:rsid w:val="00D95976"/>
    <w:rsid w:val="00D95DD8"/>
    <w:rsid w:val="00D96266"/>
    <w:rsid w:val="00D96D3F"/>
    <w:rsid w:val="00D97238"/>
    <w:rsid w:val="00D97952"/>
    <w:rsid w:val="00DA0173"/>
    <w:rsid w:val="00DA03E4"/>
    <w:rsid w:val="00DA0655"/>
    <w:rsid w:val="00DA0788"/>
    <w:rsid w:val="00DA0A42"/>
    <w:rsid w:val="00DA13B4"/>
    <w:rsid w:val="00DA1B6E"/>
    <w:rsid w:val="00DA2324"/>
    <w:rsid w:val="00DA2FAE"/>
    <w:rsid w:val="00DA3140"/>
    <w:rsid w:val="00DA33E4"/>
    <w:rsid w:val="00DA3900"/>
    <w:rsid w:val="00DA41D4"/>
    <w:rsid w:val="00DA420F"/>
    <w:rsid w:val="00DA525C"/>
    <w:rsid w:val="00DA550B"/>
    <w:rsid w:val="00DA6557"/>
    <w:rsid w:val="00DA666E"/>
    <w:rsid w:val="00DA7A51"/>
    <w:rsid w:val="00DB0579"/>
    <w:rsid w:val="00DB0612"/>
    <w:rsid w:val="00DB0C7E"/>
    <w:rsid w:val="00DB0F11"/>
    <w:rsid w:val="00DB138F"/>
    <w:rsid w:val="00DB177C"/>
    <w:rsid w:val="00DB191D"/>
    <w:rsid w:val="00DB292C"/>
    <w:rsid w:val="00DB2AEC"/>
    <w:rsid w:val="00DB2D0E"/>
    <w:rsid w:val="00DB2F11"/>
    <w:rsid w:val="00DB3040"/>
    <w:rsid w:val="00DB30B4"/>
    <w:rsid w:val="00DB4281"/>
    <w:rsid w:val="00DB4CA6"/>
    <w:rsid w:val="00DB5083"/>
    <w:rsid w:val="00DB5BF6"/>
    <w:rsid w:val="00DB62EA"/>
    <w:rsid w:val="00DB643F"/>
    <w:rsid w:val="00DB654B"/>
    <w:rsid w:val="00DB6D74"/>
    <w:rsid w:val="00DB774F"/>
    <w:rsid w:val="00DB7A05"/>
    <w:rsid w:val="00DC0917"/>
    <w:rsid w:val="00DC0C84"/>
    <w:rsid w:val="00DC1554"/>
    <w:rsid w:val="00DC189B"/>
    <w:rsid w:val="00DC1AC8"/>
    <w:rsid w:val="00DC2A5D"/>
    <w:rsid w:val="00DC31AF"/>
    <w:rsid w:val="00DC330E"/>
    <w:rsid w:val="00DC37F0"/>
    <w:rsid w:val="00DC398C"/>
    <w:rsid w:val="00DC3EEA"/>
    <w:rsid w:val="00DC44A0"/>
    <w:rsid w:val="00DC4924"/>
    <w:rsid w:val="00DC4CDF"/>
    <w:rsid w:val="00DC50CF"/>
    <w:rsid w:val="00DC526C"/>
    <w:rsid w:val="00DC596A"/>
    <w:rsid w:val="00DC6094"/>
    <w:rsid w:val="00DC63B1"/>
    <w:rsid w:val="00DC6D78"/>
    <w:rsid w:val="00DC701C"/>
    <w:rsid w:val="00DD037D"/>
    <w:rsid w:val="00DD059C"/>
    <w:rsid w:val="00DD1934"/>
    <w:rsid w:val="00DD1B83"/>
    <w:rsid w:val="00DD1BD9"/>
    <w:rsid w:val="00DD1F67"/>
    <w:rsid w:val="00DD2102"/>
    <w:rsid w:val="00DD24FA"/>
    <w:rsid w:val="00DD2921"/>
    <w:rsid w:val="00DD2FB1"/>
    <w:rsid w:val="00DD3BEE"/>
    <w:rsid w:val="00DD4403"/>
    <w:rsid w:val="00DD472C"/>
    <w:rsid w:val="00DD4850"/>
    <w:rsid w:val="00DD6D8D"/>
    <w:rsid w:val="00DD7836"/>
    <w:rsid w:val="00DD7FDA"/>
    <w:rsid w:val="00DE0E97"/>
    <w:rsid w:val="00DE0FD5"/>
    <w:rsid w:val="00DE1863"/>
    <w:rsid w:val="00DE1DA4"/>
    <w:rsid w:val="00DE1DD1"/>
    <w:rsid w:val="00DE26A0"/>
    <w:rsid w:val="00DE2C99"/>
    <w:rsid w:val="00DE3D73"/>
    <w:rsid w:val="00DE3EA0"/>
    <w:rsid w:val="00DE414C"/>
    <w:rsid w:val="00DE4200"/>
    <w:rsid w:val="00DE46AF"/>
    <w:rsid w:val="00DE4CB2"/>
    <w:rsid w:val="00DE51A5"/>
    <w:rsid w:val="00DE53B0"/>
    <w:rsid w:val="00DE5903"/>
    <w:rsid w:val="00DE5C1E"/>
    <w:rsid w:val="00DE5F7F"/>
    <w:rsid w:val="00DE6ACF"/>
    <w:rsid w:val="00DE7094"/>
    <w:rsid w:val="00DE73E9"/>
    <w:rsid w:val="00DE783E"/>
    <w:rsid w:val="00DE7E05"/>
    <w:rsid w:val="00DF03C5"/>
    <w:rsid w:val="00DF047F"/>
    <w:rsid w:val="00DF06DF"/>
    <w:rsid w:val="00DF0746"/>
    <w:rsid w:val="00DF0DFF"/>
    <w:rsid w:val="00DF0E2F"/>
    <w:rsid w:val="00DF0F2D"/>
    <w:rsid w:val="00DF15D1"/>
    <w:rsid w:val="00DF1FE8"/>
    <w:rsid w:val="00DF3BE1"/>
    <w:rsid w:val="00DF3E80"/>
    <w:rsid w:val="00DF44B9"/>
    <w:rsid w:val="00DF4B42"/>
    <w:rsid w:val="00DF4B81"/>
    <w:rsid w:val="00DF52F5"/>
    <w:rsid w:val="00DF5486"/>
    <w:rsid w:val="00DF55A5"/>
    <w:rsid w:val="00DF55D8"/>
    <w:rsid w:val="00DF56CE"/>
    <w:rsid w:val="00DF5D97"/>
    <w:rsid w:val="00DF617D"/>
    <w:rsid w:val="00DF62C0"/>
    <w:rsid w:val="00DF6BD8"/>
    <w:rsid w:val="00DF6C29"/>
    <w:rsid w:val="00DF6E8F"/>
    <w:rsid w:val="00DF733B"/>
    <w:rsid w:val="00DF74F6"/>
    <w:rsid w:val="00DF754F"/>
    <w:rsid w:val="00DF79A8"/>
    <w:rsid w:val="00DF7ABD"/>
    <w:rsid w:val="00E0009C"/>
    <w:rsid w:val="00E005D2"/>
    <w:rsid w:val="00E00A64"/>
    <w:rsid w:val="00E023E6"/>
    <w:rsid w:val="00E02659"/>
    <w:rsid w:val="00E026F2"/>
    <w:rsid w:val="00E02FEC"/>
    <w:rsid w:val="00E034B9"/>
    <w:rsid w:val="00E0367E"/>
    <w:rsid w:val="00E04128"/>
    <w:rsid w:val="00E0491E"/>
    <w:rsid w:val="00E04A1F"/>
    <w:rsid w:val="00E052E0"/>
    <w:rsid w:val="00E056DD"/>
    <w:rsid w:val="00E05B2A"/>
    <w:rsid w:val="00E06376"/>
    <w:rsid w:val="00E0644B"/>
    <w:rsid w:val="00E06979"/>
    <w:rsid w:val="00E06CF6"/>
    <w:rsid w:val="00E06FB8"/>
    <w:rsid w:val="00E071DF"/>
    <w:rsid w:val="00E07913"/>
    <w:rsid w:val="00E07B2A"/>
    <w:rsid w:val="00E113AD"/>
    <w:rsid w:val="00E1145C"/>
    <w:rsid w:val="00E11C57"/>
    <w:rsid w:val="00E12E85"/>
    <w:rsid w:val="00E138D4"/>
    <w:rsid w:val="00E15866"/>
    <w:rsid w:val="00E15FDD"/>
    <w:rsid w:val="00E166DC"/>
    <w:rsid w:val="00E171D4"/>
    <w:rsid w:val="00E17287"/>
    <w:rsid w:val="00E174D3"/>
    <w:rsid w:val="00E17D77"/>
    <w:rsid w:val="00E21242"/>
    <w:rsid w:val="00E21923"/>
    <w:rsid w:val="00E223AE"/>
    <w:rsid w:val="00E226AC"/>
    <w:rsid w:val="00E22759"/>
    <w:rsid w:val="00E2348D"/>
    <w:rsid w:val="00E23F3A"/>
    <w:rsid w:val="00E25841"/>
    <w:rsid w:val="00E25912"/>
    <w:rsid w:val="00E25C33"/>
    <w:rsid w:val="00E262B5"/>
    <w:rsid w:val="00E26601"/>
    <w:rsid w:val="00E26A45"/>
    <w:rsid w:val="00E30306"/>
    <w:rsid w:val="00E30710"/>
    <w:rsid w:val="00E3209B"/>
    <w:rsid w:val="00E323FC"/>
    <w:rsid w:val="00E32534"/>
    <w:rsid w:val="00E32D73"/>
    <w:rsid w:val="00E33150"/>
    <w:rsid w:val="00E33BBA"/>
    <w:rsid w:val="00E33E52"/>
    <w:rsid w:val="00E34E64"/>
    <w:rsid w:val="00E3573F"/>
    <w:rsid w:val="00E36915"/>
    <w:rsid w:val="00E3744A"/>
    <w:rsid w:val="00E37762"/>
    <w:rsid w:val="00E41147"/>
    <w:rsid w:val="00E41DD7"/>
    <w:rsid w:val="00E43C90"/>
    <w:rsid w:val="00E443E9"/>
    <w:rsid w:val="00E444BA"/>
    <w:rsid w:val="00E446A4"/>
    <w:rsid w:val="00E45738"/>
    <w:rsid w:val="00E464BF"/>
    <w:rsid w:val="00E464D9"/>
    <w:rsid w:val="00E46DB1"/>
    <w:rsid w:val="00E504B8"/>
    <w:rsid w:val="00E505CC"/>
    <w:rsid w:val="00E50B74"/>
    <w:rsid w:val="00E5128E"/>
    <w:rsid w:val="00E51E37"/>
    <w:rsid w:val="00E52894"/>
    <w:rsid w:val="00E53178"/>
    <w:rsid w:val="00E53F3F"/>
    <w:rsid w:val="00E54094"/>
    <w:rsid w:val="00E5608E"/>
    <w:rsid w:val="00E56665"/>
    <w:rsid w:val="00E56843"/>
    <w:rsid w:val="00E56AB1"/>
    <w:rsid w:val="00E56B5B"/>
    <w:rsid w:val="00E56DC7"/>
    <w:rsid w:val="00E5749E"/>
    <w:rsid w:val="00E577E1"/>
    <w:rsid w:val="00E578DF"/>
    <w:rsid w:val="00E57A41"/>
    <w:rsid w:val="00E60021"/>
    <w:rsid w:val="00E601CF"/>
    <w:rsid w:val="00E6062F"/>
    <w:rsid w:val="00E608E5"/>
    <w:rsid w:val="00E60F49"/>
    <w:rsid w:val="00E61841"/>
    <w:rsid w:val="00E61C84"/>
    <w:rsid w:val="00E622A6"/>
    <w:rsid w:val="00E6291B"/>
    <w:rsid w:val="00E62BB8"/>
    <w:rsid w:val="00E63223"/>
    <w:rsid w:val="00E63408"/>
    <w:rsid w:val="00E65C81"/>
    <w:rsid w:val="00E65ED0"/>
    <w:rsid w:val="00E66557"/>
    <w:rsid w:val="00E66851"/>
    <w:rsid w:val="00E66AB2"/>
    <w:rsid w:val="00E66B93"/>
    <w:rsid w:val="00E66DFC"/>
    <w:rsid w:val="00E66F57"/>
    <w:rsid w:val="00E7008B"/>
    <w:rsid w:val="00E70192"/>
    <w:rsid w:val="00E70895"/>
    <w:rsid w:val="00E71394"/>
    <w:rsid w:val="00E715A3"/>
    <w:rsid w:val="00E71752"/>
    <w:rsid w:val="00E71CBF"/>
    <w:rsid w:val="00E723B3"/>
    <w:rsid w:val="00E73057"/>
    <w:rsid w:val="00E732D9"/>
    <w:rsid w:val="00E73F31"/>
    <w:rsid w:val="00E741D9"/>
    <w:rsid w:val="00E743C1"/>
    <w:rsid w:val="00E74832"/>
    <w:rsid w:val="00E74ABF"/>
    <w:rsid w:val="00E74EBE"/>
    <w:rsid w:val="00E74ED4"/>
    <w:rsid w:val="00E75036"/>
    <w:rsid w:val="00E7527A"/>
    <w:rsid w:val="00E75841"/>
    <w:rsid w:val="00E7674C"/>
    <w:rsid w:val="00E77208"/>
    <w:rsid w:val="00E7765D"/>
    <w:rsid w:val="00E7784A"/>
    <w:rsid w:val="00E77CB0"/>
    <w:rsid w:val="00E77E33"/>
    <w:rsid w:val="00E807CA"/>
    <w:rsid w:val="00E816B3"/>
    <w:rsid w:val="00E82DAB"/>
    <w:rsid w:val="00E83315"/>
    <w:rsid w:val="00E83346"/>
    <w:rsid w:val="00E835A2"/>
    <w:rsid w:val="00E84104"/>
    <w:rsid w:val="00E84728"/>
    <w:rsid w:val="00E848D5"/>
    <w:rsid w:val="00E84B83"/>
    <w:rsid w:val="00E8500C"/>
    <w:rsid w:val="00E86305"/>
    <w:rsid w:val="00E86F63"/>
    <w:rsid w:val="00E87521"/>
    <w:rsid w:val="00E87581"/>
    <w:rsid w:val="00E875D5"/>
    <w:rsid w:val="00E875F3"/>
    <w:rsid w:val="00E878CC"/>
    <w:rsid w:val="00E92330"/>
    <w:rsid w:val="00E9266F"/>
    <w:rsid w:val="00E9271F"/>
    <w:rsid w:val="00E92988"/>
    <w:rsid w:val="00E9315B"/>
    <w:rsid w:val="00E949D1"/>
    <w:rsid w:val="00E94F7A"/>
    <w:rsid w:val="00E95304"/>
    <w:rsid w:val="00E958D7"/>
    <w:rsid w:val="00E96060"/>
    <w:rsid w:val="00E9629C"/>
    <w:rsid w:val="00E9664D"/>
    <w:rsid w:val="00E97A71"/>
    <w:rsid w:val="00E97B67"/>
    <w:rsid w:val="00E97D9B"/>
    <w:rsid w:val="00EA0107"/>
    <w:rsid w:val="00EA0AD0"/>
    <w:rsid w:val="00EA16AF"/>
    <w:rsid w:val="00EA2164"/>
    <w:rsid w:val="00EA241C"/>
    <w:rsid w:val="00EA3321"/>
    <w:rsid w:val="00EA347B"/>
    <w:rsid w:val="00EA3C9B"/>
    <w:rsid w:val="00EA4BCF"/>
    <w:rsid w:val="00EA4BE4"/>
    <w:rsid w:val="00EA54AD"/>
    <w:rsid w:val="00EA5BE0"/>
    <w:rsid w:val="00EA5D72"/>
    <w:rsid w:val="00EA62D6"/>
    <w:rsid w:val="00EA7071"/>
    <w:rsid w:val="00EA74C3"/>
    <w:rsid w:val="00EA75A4"/>
    <w:rsid w:val="00EA7995"/>
    <w:rsid w:val="00EB033D"/>
    <w:rsid w:val="00EB0500"/>
    <w:rsid w:val="00EB0EC9"/>
    <w:rsid w:val="00EB123F"/>
    <w:rsid w:val="00EB13E0"/>
    <w:rsid w:val="00EB142D"/>
    <w:rsid w:val="00EB203E"/>
    <w:rsid w:val="00EB21D8"/>
    <w:rsid w:val="00EB2632"/>
    <w:rsid w:val="00EB2667"/>
    <w:rsid w:val="00EB26F8"/>
    <w:rsid w:val="00EB3296"/>
    <w:rsid w:val="00EB34EC"/>
    <w:rsid w:val="00EB5395"/>
    <w:rsid w:val="00EB5735"/>
    <w:rsid w:val="00EB5E8D"/>
    <w:rsid w:val="00EB6013"/>
    <w:rsid w:val="00EB6405"/>
    <w:rsid w:val="00EB65F9"/>
    <w:rsid w:val="00EB67DF"/>
    <w:rsid w:val="00EB69B9"/>
    <w:rsid w:val="00EB6A8E"/>
    <w:rsid w:val="00EB6D47"/>
    <w:rsid w:val="00EB6F21"/>
    <w:rsid w:val="00EC006F"/>
    <w:rsid w:val="00EC0100"/>
    <w:rsid w:val="00EC061E"/>
    <w:rsid w:val="00EC098B"/>
    <w:rsid w:val="00EC0B5B"/>
    <w:rsid w:val="00EC2349"/>
    <w:rsid w:val="00EC2512"/>
    <w:rsid w:val="00EC26EC"/>
    <w:rsid w:val="00EC2BA9"/>
    <w:rsid w:val="00EC3B6A"/>
    <w:rsid w:val="00EC4209"/>
    <w:rsid w:val="00EC43F1"/>
    <w:rsid w:val="00EC4508"/>
    <w:rsid w:val="00EC46DB"/>
    <w:rsid w:val="00EC4EC8"/>
    <w:rsid w:val="00EC4F6D"/>
    <w:rsid w:val="00EC5CAF"/>
    <w:rsid w:val="00EC5DE7"/>
    <w:rsid w:val="00EC6272"/>
    <w:rsid w:val="00EC632C"/>
    <w:rsid w:val="00EC64F3"/>
    <w:rsid w:val="00EC664E"/>
    <w:rsid w:val="00EC67D0"/>
    <w:rsid w:val="00EC6809"/>
    <w:rsid w:val="00EC6C9E"/>
    <w:rsid w:val="00EC6CFB"/>
    <w:rsid w:val="00EC736B"/>
    <w:rsid w:val="00EC75BB"/>
    <w:rsid w:val="00EC7955"/>
    <w:rsid w:val="00ED067F"/>
    <w:rsid w:val="00ED124F"/>
    <w:rsid w:val="00ED26D1"/>
    <w:rsid w:val="00ED305C"/>
    <w:rsid w:val="00ED3D20"/>
    <w:rsid w:val="00ED3F5C"/>
    <w:rsid w:val="00ED5A7B"/>
    <w:rsid w:val="00ED5ADD"/>
    <w:rsid w:val="00ED5C08"/>
    <w:rsid w:val="00ED6171"/>
    <w:rsid w:val="00ED7188"/>
    <w:rsid w:val="00ED7B70"/>
    <w:rsid w:val="00EE19B5"/>
    <w:rsid w:val="00EE2062"/>
    <w:rsid w:val="00EE21FD"/>
    <w:rsid w:val="00EE3428"/>
    <w:rsid w:val="00EE3536"/>
    <w:rsid w:val="00EE363A"/>
    <w:rsid w:val="00EE3D21"/>
    <w:rsid w:val="00EE4064"/>
    <w:rsid w:val="00EE489C"/>
    <w:rsid w:val="00EE49EA"/>
    <w:rsid w:val="00EE4CDF"/>
    <w:rsid w:val="00EE4D5D"/>
    <w:rsid w:val="00EE558D"/>
    <w:rsid w:val="00EE576D"/>
    <w:rsid w:val="00EE5E0B"/>
    <w:rsid w:val="00EE6E8D"/>
    <w:rsid w:val="00EE7F8A"/>
    <w:rsid w:val="00EF0150"/>
    <w:rsid w:val="00EF01E5"/>
    <w:rsid w:val="00EF0219"/>
    <w:rsid w:val="00EF0452"/>
    <w:rsid w:val="00EF072B"/>
    <w:rsid w:val="00EF1D06"/>
    <w:rsid w:val="00EF2D2E"/>
    <w:rsid w:val="00EF336A"/>
    <w:rsid w:val="00EF3804"/>
    <w:rsid w:val="00EF3F10"/>
    <w:rsid w:val="00EF42BE"/>
    <w:rsid w:val="00EF4686"/>
    <w:rsid w:val="00EF493F"/>
    <w:rsid w:val="00EF4AD7"/>
    <w:rsid w:val="00EF4CB5"/>
    <w:rsid w:val="00EF537E"/>
    <w:rsid w:val="00EF6D60"/>
    <w:rsid w:val="00EF7134"/>
    <w:rsid w:val="00F00397"/>
    <w:rsid w:val="00F009F1"/>
    <w:rsid w:val="00F00E82"/>
    <w:rsid w:val="00F01993"/>
    <w:rsid w:val="00F02EA9"/>
    <w:rsid w:val="00F03C28"/>
    <w:rsid w:val="00F04C11"/>
    <w:rsid w:val="00F06588"/>
    <w:rsid w:val="00F06CC4"/>
    <w:rsid w:val="00F0725E"/>
    <w:rsid w:val="00F10A28"/>
    <w:rsid w:val="00F10ABE"/>
    <w:rsid w:val="00F10ED1"/>
    <w:rsid w:val="00F113C0"/>
    <w:rsid w:val="00F119CC"/>
    <w:rsid w:val="00F11B91"/>
    <w:rsid w:val="00F129EA"/>
    <w:rsid w:val="00F13157"/>
    <w:rsid w:val="00F133FA"/>
    <w:rsid w:val="00F13C3C"/>
    <w:rsid w:val="00F150E5"/>
    <w:rsid w:val="00F150EB"/>
    <w:rsid w:val="00F1618E"/>
    <w:rsid w:val="00F169B3"/>
    <w:rsid w:val="00F17175"/>
    <w:rsid w:val="00F17486"/>
    <w:rsid w:val="00F179CB"/>
    <w:rsid w:val="00F17BC6"/>
    <w:rsid w:val="00F20F8A"/>
    <w:rsid w:val="00F21F26"/>
    <w:rsid w:val="00F22F67"/>
    <w:rsid w:val="00F22FE1"/>
    <w:rsid w:val="00F234D4"/>
    <w:rsid w:val="00F23C6F"/>
    <w:rsid w:val="00F2433A"/>
    <w:rsid w:val="00F248FD"/>
    <w:rsid w:val="00F2547D"/>
    <w:rsid w:val="00F25622"/>
    <w:rsid w:val="00F25B69"/>
    <w:rsid w:val="00F270BD"/>
    <w:rsid w:val="00F273C0"/>
    <w:rsid w:val="00F27868"/>
    <w:rsid w:val="00F27886"/>
    <w:rsid w:val="00F27F63"/>
    <w:rsid w:val="00F27FFE"/>
    <w:rsid w:val="00F300BC"/>
    <w:rsid w:val="00F31FDE"/>
    <w:rsid w:val="00F32A62"/>
    <w:rsid w:val="00F33536"/>
    <w:rsid w:val="00F35149"/>
    <w:rsid w:val="00F35254"/>
    <w:rsid w:val="00F3595A"/>
    <w:rsid w:val="00F367C6"/>
    <w:rsid w:val="00F3720F"/>
    <w:rsid w:val="00F41542"/>
    <w:rsid w:val="00F43D78"/>
    <w:rsid w:val="00F43E87"/>
    <w:rsid w:val="00F4684B"/>
    <w:rsid w:val="00F478B1"/>
    <w:rsid w:val="00F47D1E"/>
    <w:rsid w:val="00F509FD"/>
    <w:rsid w:val="00F51117"/>
    <w:rsid w:val="00F518DC"/>
    <w:rsid w:val="00F52252"/>
    <w:rsid w:val="00F527C3"/>
    <w:rsid w:val="00F52E74"/>
    <w:rsid w:val="00F5311F"/>
    <w:rsid w:val="00F53A9E"/>
    <w:rsid w:val="00F55488"/>
    <w:rsid w:val="00F56034"/>
    <w:rsid w:val="00F568D5"/>
    <w:rsid w:val="00F5721F"/>
    <w:rsid w:val="00F5768E"/>
    <w:rsid w:val="00F60968"/>
    <w:rsid w:val="00F61717"/>
    <w:rsid w:val="00F622FD"/>
    <w:rsid w:val="00F6344A"/>
    <w:rsid w:val="00F64F30"/>
    <w:rsid w:val="00F665C2"/>
    <w:rsid w:val="00F6662A"/>
    <w:rsid w:val="00F66E9A"/>
    <w:rsid w:val="00F67179"/>
    <w:rsid w:val="00F67AE2"/>
    <w:rsid w:val="00F70085"/>
    <w:rsid w:val="00F704CD"/>
    <w:rsid w:val="00F70527"/>
    <w:rsid w:val="00F70659"/>
    <w:rsid w:val="00F70B22"/>
    <w:rsid w:val="00F70F76"/>
    <w:rsid w:val="00F7105C"/>
    <w:rsid w:val="00F72A99"/>
    <w:rsid w:val="00F733D6"/>
    <w:rsid w:val="00F73BCE"/>
    <w:rsid w:val="00F74629"/>
    <w:rsid w:val="00F75072"/>
    <w:rsid w:val="00F755D4"/>
    <w:rsid w:val="00F75EF4"/>
    <w:rsid w:val="00F75F99"/>
    <w:rsid w:val="00F77380"/>
    <w:rsid w:val="00F773E6"/>
    <w:rsid w:val="00F77B9E"/>
    <w:rsid w:val="00F801DC"/>
    <w:rsid w:val="00F803BF"/>
    <w:rsid w:val="00F805F7"/>
    <w:rsid w:val="00F807C7"/>
    <w:rsid w:val="00F8202D"/>
    <w:rsid w:val="00F8227B"/>
    <w:rsid w:val="00F826B0"/>
    <w:rsid w:val="00F82A1A"/>
    <w:rsid w:val="00F8311C"/>
    <w:rsid w:val="00F836F1"/>
    <w:rsid w:val="00F8370A"/>
    <w:rsid w:val="00F83C89"/>
    <w:rsid w:val="00F84456"/>
    <w:rsid w:val="00F85571"/>
    <w:rsid w:val="00F86144"/>
    <w:rsid w:val="00F86488"/>
    <w:rsid w:val="00F870D2"/>
    <w:rsid w:val="00F87F13"/>
    <w:rsid w:val="00F900B8"/>
    <w:rsid w:val="00F90218"/>
    <w:rsid w:val="00F902CE"/>
    <w:rsid w:val="00F904E2"/>
    <w:rsid w:val="00F90907"/>
    <w:rsid w:val="00F90B98"/>
    <w:rsid w:val="00F90C2B"/>
    <w:rsid w:val="00F91850"/>
    <w:rsid w:val="00F91B7A"/>
    <w:rsid w:val="00F91D4D"/>
    <w:rsid w:val="00F921AA"/>
    <w:rsid w:val="00F927A5"/>
    <w:rsid w:val="00F93F72"/>
    <w:rsid w:val="00F940C3"/>
    <w:rsid w:val="00F94329"/>
    <w:rsid w:val="00F94A1D"/>
    <w:rsid w:val="00F94A2F"/>
    <w:rsid w:val="00F94D5E"/>
    <w:rsid w:val="00F95469"/>
    <w:rsid w:val="00F95AAE"/>
    <w:rsid w:val="00F95C40"/>
    <w:rsid w:val="00F969F5"/>
    <w:rsid w:val="00FA06A1"/>
    <w:rsid w:val="00FA0B8D"/>
    <w:rsid w:val="00FA122E"/>
    <w:rsid w:val="00FA1632"/>
    <w:rsid w:val="00FA1693"/>
    <w:rsid w:val="00FA17A0"/>
    <w:rsid w:val="00FA19A3"/>
    <w:rsid w:val="00FA1A86"/>
    <w:rsid w:val="00FA1AEA"/>
    <w:rsid w:val="00FA27C5"/>
    <w:rsid w:val="00FA28CD"/>
    <w:rsid w:val="00FA3B95"/>
    <w:rsid w:val="00FA4A33"/>
    <w:rsid w:val="00FA4E53"/>
    <w:rsid w:val="00FA5543"/>
    <w:rsid w:val="00FA6008"/>
    <w:rsid w:val="00FA6725"/>
    <w:rsid w:val="00FA7407"/>
    <w:rsid w:val="00FB005A"/>
    <w:rsid w:val="00FB051D"/>
    <w:rsid w:val="00FB2BFD"/>
    <w:rsid w:val="00FB32B3"/>
    <w:rsid w:val="00FB3582"/>
    <w:rsid w:val="00FB3C2D"/>
    <w:rsid w:val="00FB3D03"/>
    <w:rsid w:val="00FB3E2E"/>
    <w:rsid w:val="00FB4ABF"/>
    <w:rsid w:val="00FB4B60"/>
    <w:rsid w:val="00FB4C1F"/>
    <w:rsid w:val="00FB68BF"/>
    <w:rsid w:val="00FB68E9"/>
    <w:rsid w:val="00FB6DE8"/>
    <w:rsid w:val="00FB7644"/>
    <w:rsid w:val="00FB7BEB"/>
    <w:rsid w:val="00FC025A"/>
    <w:rsid w:val="00FC02EB"/>
    <w:rsid w:val="00FC0B70"/>
    <w:rsid w:val="00FC0EAC"/>
    <w:rsid w:val="00FC1DAF"/>
    <w:rsid w:val="00FC20B4"/>
    <w:rsid w:val="00FC431E"/>
    <w:rsid w:val="00FC45E3"/>
    <w:rsid w:val="00FC47C5"/>
    <w:rsid w:val="00FC4864"/>
    <w:rsid w:val="00FC56E3"/>
    <w:rsid w:val="00FC59E1"/>
    <w:rsid w:val="00FC5A64"/>
    <w:rsid w:val="00FC6170"/>
    <w:rsid w:val="00FC652E"/>
    <w:rsid w:val="00FC6E4D"/>
    <w:rsid w:val="00FC7109"/>
    <w:rsid w:val="00FC715C"/>
    <w:rsid w:val="00FC7B4A"/>
    <w:rsid w:val="00FD103A"/>
    <w:rsid w:val="00FD1792"/>
    <w:rsid w:val="00FD1AA3"/>
    <w:rsid w:val="00FD2205"/>
    <w:rsid w:val="00FD2376"/>
    <w:rsid w:val="00FD2730"/>
    <w:rsid w:val="00FD2950"/>
    <w:rsid w:val="00FD2C1A"/>
    <w:rsid w:val="00FD3185"/>
    <w:rsid w:val="00FD31EE"/>
    <w:rsid w:val="00FD353C"/>
    <w:rsid w:val="00FD3F59"/>
    <w:rsid w:val="00FD45F5"/>
    <w:rsid w:val="00FD499A"/>
    <w:rsid w:val="00FD4B00"/>
    <w:rsid w:val="00FD53E0"/>
    <w:rsid w:val="00FD5407"/>
    <w:rsid w:val="00FD541A"/>
    <w:rsid w:val="00FD55C9"/>
    <w:rsid w:val="00FD5783"/>
    <w:rsid w:val="00FD57E9"/>
    <w:rsid w:val="00FD6635"/>
    <w:rsid w:val="00FD6C36"/>
    <w:rsid w:val="00FD6F2B"/>
    <w:rsid w:val="00FD725F"/>
    <w:rsid w:val="00FE0366"/>
    <w:rsid w:val="00FE07B1"/>
    <w:rsid w:val="00FE0C8F"/>
    <w:rsid w:val="00FE1319"/>
    <w:rsid w:val="00FE2058"/>
    <w:rsid w:val="00FE245A"/>
    <w:rsid w:val="00FE2735"/>
    <w:rsid w:val="00FE2A6A"/>
    <w:rsid w:val="00FE2B55"/>
    <w:rsid w:val="00FE2E5F"/>
    <w:rsid w:val="00FE367E"/>
    <w:rsid w:val="00FE3BBA"/>
    <w:rsid w:val="00FE3F48"/>
    <w:rsid w:val="00FE4246"/>
    <w:rsid w:val="00FE4E96"/>
    <w:rsid w:val="00FE4FCA"/>
    <w:rsid w:val="00FE5386"/>
    <w:rsid w:val="00FE5DA7"/>
    <w:rsid w:val="00FE5E50"/>
    <w:rsid w:val="00FE6024"/>
    <w:rsid w:val="00FE7B38"/>
    <w:rsid w:val="00FF12A9"/>
    <w:rsid w:val="00FF2A70"/>
    <w:rsid w:val="00FF335E"/>
    <w:rsid w:val="00FF418C"/>
    <w:rsid w:val="00FF467A"/>
    <w:rsid w:val="00FF4D3B"/>
    <w:rsid w:val="00FF5273"/>
    <w:rsid w:val="00FF53B7"/>
    <w:rsid w:val="00FF5695"/>
    <w:rsid w:val="00FF59F6"/>
    <w:rsid w:val="00FF5E1C"/>
    <w:rsid w:val="00FF5F37"/>
    <w:rsid w:val="00FF62FC"/>
    <w:rsid w:val="00FF67D6"/>
    <w:rsid w:val="00FF67D7"/>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7F7A5F0"/>
  <w15:docId w15:val="{AF741D14-7C62-4FCC-8D41-5BF36260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9F7"/>
    <w:pPr>
      <w:ind w:left="720"/>
      <w:contextualSpacing/>
    </w:pPr>
  </w:style>
  <w:style w:type="paragraph" w:styleId="Notedebasdepage">
    <w:name w:val="footnote text"/>
    <w:basedOn w:val="Normal"/>
    <w:link w:val="NotedebasdepageCar"/>
    <w:uiPriority w:val="99"/>
    <w:unhideWhenUsed/>
    <w:rsid w:val="005C55E7"/>
    <w:pPr>
      <w:spacing w:after="0" w:line="240" w:lineRule="auto"/>
    </w:pPr>
    <w:rPr>
      <w:sz w:val="20"/>
      <w:szCs w:val="20"/>
    </w:rPr>
  </w:style>
  <w:style w:type="character" w:customStyle="1" w:styleId="NotedebasdepageCar">
    <w:name w:val="Note de bas de page Car"/>
    <w:basedOn w:val="Policepardfaut"/>
    <w:link w:val="Notedebasdepage"/>
    <w:uiPriority w:val="99"/>
    <w:rsid w:val="005C55E7"/>
    <w:rPr>
      <w:sz w:val="20"/>
      <w:szCs w:val="20"/>
    </w:rPr>
  </w:style>
  <w:style w:type="character" w:styleId="Appelnotedebasdep">
    <w:name w:val="footnote reference"/>
    <w:basedOn w:val="Policepardfaut"/>
    <w:uiPriority w:val="99"/>
    <w:semiHidden/>
    <w:unhideWhenUsed/>
    <w:rsid w:val="005C55E7"/>
    <w:rPr>
      <w:vertAlign w:val="superscript"/>
    </w:rPr>
  </w:style>
  <w:style w:type="paragraph" w:styleId="En-tte">
    <w:name w:val="header"/>
    <w:basedOn w:val="Normal"/>
    <w:link w:val="En-tteCar"/>
    <w:uiPriority w:val="99"/>
    <w:unhideWhenUsed/>
    <w:rsid w:val="00B73174"/>
    <w:pPr>
      <w:tabs>
        <w:tab w:val="center" w:pos="4536"/>
        <w:tab w:val="right" w:pos="9072"/>
      </w:tabs>
      <w:spacing w:after="0" w:line="240" w:lineRule="auto"/>
    </w:pPr>
  </w:style>
  <w:style w:type="character" w:customStyle="1" w:styleId="En-tteCar">
    <w:name w:val="En-tête Car"/>
    <w:basedOn w:val="Policepardfaut"/>
    <w:link w:val="En-tte"/>
    <w:uiPriority w:val="99"/>
    <w:rsid w:val="00B73174"/>
  </w:style>
  <w:style w:type="paragraph" w:styleId="Pieddepage">
    <w:name w:val="footer"/>
    <w:basedOn w:val="Normal"/>
    <w:link w:val="PieddepageCar"/>
    <w:uiPriority w:val="99"/>
    <w:unhideWhenUsed/>
    <w:rsid w:val="00B731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174"/>
  </w:style>
  <w:style w:type="table" w:styleId="Grilledutableau">
    <w:name w:val="Table Grid"/>
    <w:basedOn w:val="TableauNormal"/>
    <w:uiPriority w:val="39"/>
    <w:rsid w:val="0035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E4E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E2F"/>
    <w:rPr>
      <w:rFonts w:ascii="Segoe UI" w:hAnsi="Segoe UI" w:cs="Segoe UI"/>
      <w:sz w:val="18"/>
      <w:szCs w:val="18"/>
    </w:rPr>
  </w:style>
  <w:style w:type="character" w:styleId="Marquedecommentaire">
    <w:name w:val="annotation reference"/>
    <w:basedOn w:val="Policepardfaut"/>
    <w:uiPriority w:val="99"/>
    <w:semiHidden/>
    <w:unhideWhenUsed/>
    <w:rsid w:val="00701B5D"/>
    <w:rPr>
      <w:sz w:val="16"/>
      <w:szCs w:val="16"/>
    </w:rPr>
  </w:style>
  <w:style w:type="paragraph" w:styleId="Commentaire">
    <w:name w:val="annotation text"/>
    <w:basedOn w:val="Normal"/>
    <w:link w:val="CommentaireCar"/>
    <w:uiPriority w:val="99"/>
    <w:unhideWhenUsed/>
    <w:rsid w:val="00701B5D"/>
    <w:pPr>
      <w:spacing w:line="240" w:lineRule="auto"/>
    </w:pPr>
    <w:rPr>
      <w:sz w:val="20"/>
      <w:szCs w:val="20"/>
    </w:rPr>
  </w:style>
  <w:style w:type="character" w:customStyle="1" w:styleId="CommentaireCar">
    <w:name w:val="Commentaire Car"/>
    <w:basedOn w:val="Policepardfaut"/>
    <w:link w:val="Commentaire"/>
    <w:uiPriority w:val="99"/>
    <w:rsid w:val="00701B5D"/>
    <w:rPr>
      <w:sz w:val="20"/>
      <w:szCs w:val="20"/>
    </w:rPr>
  </w:style>
  <w:style w:type="paragraph" w:styleId="Objetducommentaire">
    <w:name w:val="annotation subject"/>
    <w:basedOn w:val="Commentaire"/>
    <w:next w:val="Commentaire"/>
    <w:link w:val="ObjetducommentaireCar"/>
    <w:uiPriority w:val="99"/>
    <w:semiHidden/>
    <w:unhideWhenUsed/>
    <w:rsid w:val="00701B5D"/>
    <w:rPr>
      <w:b/>
      <w:bCs/>
    </w:rPr>
  </w:style>
  <w:style w:type="character" w:customStyle="1" w:styleId="ObjetducommentaireCar">
    <w:name w:val="Objet du commentaire Car"/>
    <w:basedOn w:val="CommentaireCar"/>
    <w:link w:val="Objetducommentaire"/>
    <w:uiPriority w:val="99"/>
    <w:semiHidden/>
    <w:rsid w:val="00701B5D"/>
    <w:rPr>
      <w:b/>
      <w:bCs/>
      <w:sz w:val="20"/>
      <w:szCs w:val="20"/>
    </w:rPr>
  </w:style>
  <w:style w:type="paragraph" w:styleId="Sansinterligne">
    <w:name w:val="No Spacing"/>
    <w:uiPriority w:val="1"/>
    <w:qFormat/>
    <w:rsid w:val="00330C2D"/>
    <w:pPr>
      <w:spacing w:after="0" w:line="240" w:lineRule="auto"/>
    </w:pPr>
  </w:style>
  <w:style w:type="paragraph" w:styleId="NormalWeb">
    <w:name w:val="Normal (Web)"/>
    <w:basedOn w:val="Normal"/>
    <w:uiPriority w:val="99"/>
    <w:unhideWhenUsed/>
    <w:rsid w:val="00EF2D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743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077">
      <w:bodyDiv w:val="1"/>
      <w:marLeft w:val="0"/>
      <w:marRight w:val="0"/>
      <w:marTop w:val="0"/>
      <w:marBottom w:val="0"/>
      <w:divBdr>
        <w:top w:val="none" w:sz="0" w:space="0" w:color="auto"/>
        <w:left w:val="none" w:sz="0" w:space="0" w:color="auto"/>
        <w:bottom w:val="none" w:sz="0" w:space="0" w:color="auto"/>
        <w:right w:val="none" w:sz="0" w:space="0" w:color="auto"/>
      </w:divBdr>
    </w:div>
    <w:div w:id="230963363">
      <w:bodyDiv w:val="1"/>
      <w:marLeft w:val="0"/>
      <w:marRight w:val="0"/>
      <w:marTop w:val="0"/>
      <w:marBottom w:val="0"/>
      <w:divBdr>
        <w:top w:val="none" w:sz="0" w:space="0" w:color="auto"/>
        <w:left w:val="none" w:sz="0" w:space="0" w:color="auto"/>
        <w:bottom w:val="none" w:sz="0" w:space="0" w:color="auto"/>
        <w:right w:val="none" w:sz="0" w:space="0" w:color="auto"/>
      </w:divBdr>
    </w:div>
    <w:div w:id="337661294">
      <w:bodyDiv w:val="1"/>
      <w:marLeft w:val="0"/>
      <w:marRight w:val="0"/>
      <w:marTop w:val="0"/>
      <w:marBottom w:val="0"/>
      <w:divBdr>
        <w:top w:val="none" w:sz="0" w:space="0" w:color="auto"/>
        <w:left w:val="none" w:sz="0" w:space="0" w:color="auto"/>
        <w:bottom w:val="none" w:sz="0" w:space="0" w:color="auto"/>
        <w:right w:val="none" w:sz="0" w:space="0" w:color="auto"/>
      </w:divBdr>
    </w:div>
    <w:div w:id="342902354">
      <w:bodyDiv w:val="1"/>
      <w:marLeft w:val="0"/>
      <w:marRight w:val="0"/>
      <w:marTop w:val="0"/>
      <w:marBottom w:val="0"/>
      <w:divBdr>
        <w:top w:val="none" w:sz="0" w:space="0" w:color="auto"/>
        <w:left w:val="none" w:sz="0" w:space="0" w:color="auto"/>
        <w:bottom w:val="none" w:sz="0" w:space="0" w:color="auto"/>
        <w:right w:val="none" w:sz="0" w:space="0" w:color="auto"/>
      </w:divBdr>
    </w:div>
    <w:div w:id="792872439">
      <w:bodyDiv w:val="1"/>
      <w:marLeft w:val="0"/>
      <w:marRight w:val="0"/>
      <w:marTop w:val="0"/>
      <w:marBottom w:val="0"/>
      <w:divBdr>
        <w:top w:val="none" w:sz="0" w:space="0" w:color="auto"/>
        <w:left w:val="none" w:sz="0" w:space="0" w:color="auto"/>
        <w:bottom w:val="none" w:sz="0" w:space="0" w:color="auto"/>
        <w:right w:val="none" w:sz="0" w:space="0" w:color="auto"/>
      </w:divBdr>
    </w:div>
    <w:div w:id="813108659">
      <w:bodyDiv w:val="1"/>
      <w:marLeft w:val="0"/>
      <w:marRight w:val="0"/>
      <w:marTop w:val="0"/>
      <w:marBottom w:val="0"/>
      <w:divBdr>
        <w:top w:val="none" w:sz="0" w:space="0" w:color="auto"/>
        <w:left w:val="none" w:sz="0" w:space="0" w:color="auto"/>
        <w:bottom w:val="none" w:sz="0" w:space="0" w:color="auto"/>
        <w:right w:val="none" w:sz="0" w:space="0" w:color="auto"/>
      </w:divBdr>
    </w:div>
    <w:div w:id="1029182441">
      <w:bodyDiv w:val="1"/>
      <w:marLeft w:val="0"/>
      <w:marRight w:val="0"/>
      <w:marTop w:val="0"/>
      <w:marBottom w:val="0"/>
      <w:divBdr>
        <w:top w:val="none" w:sz="0" w:space="0" w:color="auto"/>
        <w:left w:val="none" w:sz="0" w:space="0" w:color="auto"/>
        <w:bottom w:val="none" w:sz="0" w:space="0" w:color="auto"/>
        <w:right w:val="none" w:sz="0" w:space="0" w:color="auto"/>
      </w:divBdr>
    </w:div>
    <w:div w:id="1158616502">
      <w:bodyDiv w:val="1"/>
      <w:marLeft w:val="0"/>
      <w:marRight w:val="0"/>
      <w:marTop w:val="0"/>
      <w:marBottom w:val="0"/>
      <w:divBdr>
        <w:top w:val="none" w:sz="0" w:space="0" w:color="auto"/>
        <w:left w:val="none" w:sz="0" w:space="0" w:color="auto"/>
        <w:bottom w:val="none" w:sz="0" w:space="0" w:color="auto"/>
        <w:right w:val="none" w:sz="0" w:space="0" w:color="auto"/>
      </w:divBdr>
    </w:div>
    <w:div w:id="1196772933">
      <w:bodyDiv w:val="1"/>
      <w:marLeft w:val="0"/>
      <w:marRight w:val="0"/>
      <w:marTop w:val="0"/>
      <w:marBottom w:val="0"/>
      <w:divBdr>
        <w:top w:val="none" w:sz="0" w:space="0" w:color="auto"/>
        <w:left w:val="none" w:sz="0" w:space="0" w:color="auto"/>
        <w:bottom w:val="none" w:sz="0" w:space="0" w:color="auto"/>
        <w:right w:val="none" w:sz="0" w:space="0" w:color="auto"/>
      </w:divBdr>
    </w:div>
    <w:div w:id="1390305867">
      <w:bodyDiv w:val="1"/>
      <w:marLeft w:val="0"/>
      <w:marRight w:val="0"/>
      <w:marTop w:val="0"/>
      <w:marBottom w:val="0"/>
      <w:divBdr>
        <w:top w:val="none" w:sz="0" w:space="0" w:color="auto"/>
        <w:left w:val="none" w:sz="0" w:space="0" w:color="auto"/>
        <w:bottom w:val="none" w:sz="0" w:space="0" w:color="auto"/>
        <w:right w:val="none" w:sz="0" w:space="0" w:color="auto"/>
      </w:divBdr>
    </w:div>
    <w:div w:id="1463570350">
      <w:bodyDiv w:val="1"/>
      <w:marLeft w:val="0"/>
      <w:marRight w:val="0"/>
      <w:marTop w:val="0"/>
      <w:marBottom w:val="0"/>
      <w:divBdr>
        <w:top w:val="none" w:sz="0" w:space="0" w:color="auto"/>
        <w:left w:val="none" w:sz="0" w:space="0" w:color="auto"/>
        <w:bottom w:val="none" w:sz="0" w:space="0" w:color="auto"/>
        <w:right w:val="none" w:sz="0" w:space="0" w:color="auto"/>
      </w:divBdr>
    </w:div>
    <w:div w:id="1545169871">
      <w:bodyDiv w:val="1"/>
      <w:marLeft w:val="0"/>
      <w:marRight w:val="0"/>
      <w:marTop w:val="0"/>
      <w:marBottom w:val="0"/>
      <w:divBdr>
        <w:top w:val="none" w:sz="0" w:space="0" w:color="auto"/>
        <w:left w:val="none" w:sz="0" w:space="0" w:color="auto"/>
        <w:bottom w:val="none" w:sz="0" w:space="0" w:color="auto"/>
        <w:right w:val="none" w:sz="0" w:space="0" w:color="auto"/>
      </w:divBdr>
    </w:div>
    <w:div w:id="1573655518">
      <w:bodyDiv w:val="1"/>
      <w:marLeft w:val="0"/>
      <w:marRight w:val="0"/>
      <w:marTop w:val="0"/>
      <w:marBottom w:val="0"/>
      <w:divBdr>
        <w:top w:val="none" w:sz="0" w:space="0" w:color="auto"/>
        <w:left w:val="none" w:sz="0" w:space="0" w:color="auto"/>
        <w:bottom w:val="none" w:sz="0" w:space="0" w:color="auto"/>
        <w:right w:val="none" w:sz="0" w:space="0" w:color="auto"/>
      </w:divBdr>
    </w:div>
    <w:div w:id="1612931545">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88498196">
      <w:bodyDiv w:val="1"/>
      <w:marLeft w:val="0"/>
      <w:marRight w:val="0"/>
      <w:marTop w:val="0"/>
      <w:marBottom w:val="0"/>
      <w:divBdr>
        <w:top w:val="none" w:sz="0" w:space="0" w:color="auto"/>
        <w:left w:val="none" w:sz="0" w:space="0" w:color="auto"/>
        <w:bottom w:val="none" w:sz="0" w:space="0" w:color="auto"/>
        <w:right w:val="none" w:sz="0" w:space="0" w:color="auto"/>
      </w:divBdr>
    </w:div>
    <w:div w:id="1817911545">
      <w:bodyDiv w:val="1"/>
      <w:marLeft w:val="0"/>
      <w:marRight w:val="0"/>
      <w:marTop w:val="0"/>
      <w:marBottom w:val="0"/>
      <w:divBdr>
        <w:top w:val="none" w:sz="0" w:space="0" w:color="auto"/>
        <w:left w:val="none" w:sz="0" w:space="0" w:color="auto"/>
        <w:bottom w:val="none" w:sz="0" w:space="0" w:color="auto"/>
        <w:right w:val="none" w:sz="0" w:space="0" w:color="auto"/>
      </w:divBdr>
    </w:div>
    <w:div w:id="1861359097">
      <w:bodyDiv w:val="1"/>
      <w:marLeft w:val="0"/>
      <w:marRight w:val="0"/>
      <w:marTop w:val="0"/>
      <w:marBottom w:val="0"/>
      <w:divBdr>
        <w:top w:val="none" w:sz="0" w:space="0" w:color="auto"/>
        <w:left w:val="none" w:sz="0" w:space="0" w:color="auto"/>
        <w:bottom w:val="none" w:sz="0" w:space="0" w:color="auto"/>
        <w:right w:val="none" w:sz="0" w:space="0" w:color="auto"/>
      </w:divBdr>
    </w:div>
    <w:div w:id="1883130471">
      <w:bodyDiv w:val="1"/>
      <w:marLeft w:val="0"/>
      <w:marRight w:val="0"/>
      <w:marTop w:val="0"/>
      <w:marBottom w:val="0"/>
      <w:divBdr>
        <w:top w:val="none" w:sz="0" w:space="0" w:color="auto"/>
        <w:left w:val="none" w:sz="0" w:space="0" w:color="auto"/>
        <w:bottom w:val="none" w:sz="0" w:space="0" w:color="auto"/>
        <w:right w:val="none" w:sz="0" w:space="0" w:color="auto"/>
      </w:divBdr>
    </w:div>
    <w:div w:id="1963413748">
      <w:bodyDiv w:val="1"/>
      <w:marLeft w:val="0"/>
      <w:marRight w:val="0"/>
      <w:marTop w:val="0"/>
      <w:marBottom w:val="0"/>
      <w:divBdr>
        <w:top w:val="none" w:sz="0" w:space="0" w:color="auto"/>
        <w:left w:val="none" w:sz="0" w:space="0" w:color="auto"/>
        <w:bottom w:val="none" w:sz="0" w:space="0" w:color="auto"/>
        <w:right w:val="none" w:sz="0" w:space="0" w:color="auto"/>
      </w:divBdr>
    </w:div>
    <w:div w:id="1998410676">
      <w:bodyDiv w:val="1"/>
      <w:marLeft w:val="0"/>
      <w:marRight w:val="0"/>
      <w:marTop w:val="0"/>
      <w:marBottom w:val="0"/>
      <w:divBdr>
        <w:top w:val="none" w:sz="0" w:space="0" w:color="auto"/>
        <w:left w:val="none" w:sz="0" w:space="0" w:color="auto"/>
        <w:bottom w:val="none" w:sz="0" w:space="0" w:color="auto"/>
        <w:right w:val="none" w:sz="0" w:space="0" w:color="auto"/>
      </w:divBdr>
    </w:div>
    <w:div w:id="21266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B64245E8C943AB90D04A548EC969" ma:contentTypeVersion="8" ma:contentTypeDescription="Crée un document." ma:contentTypeScope="" ma:versionID="a8201ef8639d61a463f6e616c05337be">
  <xsd:schema xmlns:xsd="http://www.w3.org/2001/XMLSchema" xmlns:xs="http://www.w3.org/2001/XMLSchema" xmlns:p="http://schemas.microsoft.com/office/2006/metadata/properties" xmlns:ns2="40598c5b-eb8b-44b6-acb4-096b356a2fab" xmlns:ns3="b90ad063-18ad-4023-a8d9-ba1a0d0e66b8" targetNamespace="http://schemas.microsoft.com/office/2006/metadata/properties" ma:root="true" ma:fieldsID="70c4c21c15fc73b1107b28d365f30db9" ns2:_="" ns3:_="">
    <xsd:import namespace="40598c5b-eb8b-44b6-acb4-096b356a2fab"/>
    <xsd:import namespace="b90ad063-18ad-4023-a8d9-ba1a0d0e66b8"/>
    <xsd:element name="properties">
      <xsd:complexType>
        <xsd:sequence>
          <xsd:element name="documentManagement">
            <xsd:complexType>
              <xsd:all>
                <xsd:element ref="ns2:Type_x0020_de_x0020_document" minOccurs="0"/>
                <xsd:element ref="ns2:e03f3dd452ed4d79aff0ab23e5d8c1b6"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8c5b-eb8b-44b6-acb4-096b356a2fab" elementFormDefault="qualified">
    <xsd:import namespace="http://schemas.microsoft.com/office/2006/documentManagement/types"/>
    <xsd:import namespace="http://schemas.microsoft.com/office/infopath/2007/PartnerControls"/>
    <xsd:element name="Type_x0020_de_x0020_document" ma:index="8" nillable="true" ma:displayName="Type de document" ma:format="Dropdown" ma:internalName="Type_x0020_de_x0020_document">
      <xsd:simpleType>
        <xsd:restriction base="dms:Choice">
          <xsd:enumeration value="Word"/>
          <xsd:enumeration value="Powerpoint"/>
          <xsd:enumeration value="Excel"/>
          <xsd:enumeration value="PDF"/>
          <xsd:enumeration value="Autre"/>
        </xsd:restriction>
      </xsd:simpleType>
    </xsd:element>
    <xsd:element name="e03f3dd452ed4d79aff0ab23e5d8c1b6" ma:index="10" ma:taxonomy="true" ma:internalName="e03f3dd452ed4d79aff0ab23e5d8c1b6" ma:taxonomyFieldName="Th_x00e8_mes_x0020_du_x0020_document" ma:displayName="Thèmes du document" ma:readOnly="false" ma:default="1;#SEE|81099eea-3737-4fde-9257-bfa293ae1818" ma:fieldId="{e03f3dd4-52ed-4d79-aff0-ab23e5d8c1b6}" ma:taxonomyMulti="true" ma:sspId="16fb23be-d400-4d26-b240-6ede1ba76c2a" ma:termSetId="c1980e8c-4c88-4cf8-9104-98d37fd01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ad063-18ad-4023-a8d9-ba1a0d0e66b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cd5039-f872-497a-b846-607916489662}" ma:internalName="TaxCatchAll" ma:showField="CatchAllData" ma:web="b90ad063-18ad-4023-a8d9-ba1a0d0e6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0ad063-18ad-4023-a8d9-ba1a0d0e66b8">
      <Value>27</Value>
    </TaxCatchAll>
    <Type_x0020_de_x0020_document xmlns="40598c5b-eb8b-44b6-acb4-096b356a2fab" xsi:nil="true"/>
    <e03f3dd452ed4d79aff0ab23e5d8c1b6 xmlns="40598c5b-eb8b-44b6-acb4-096b356a2fab">
      <Terms xmlns="http://schemas.microsoft.com/office/infopath/2007/PartnerControls">
        <TermInfo xmlns="http://schemas.microsoft.com/office/infopath/2007/PartnerControls">
          <TermName xmlns="http://schemas.microsoft.com/office/infopath/2007/PartnerControls">Documents provisoires</TermName>
          <TermId xmlns="http://schemas.microsoft.com/office/infopath/2007/PartnerControls">30b414c5-c73a-4a2f-bfe1-8284126dc5b0</TermId>
        </TermInfo>
      </Terms>
    </e03f3dd452ed4d79aff0ab23e5d8c1b6>
    <SharedWithUsers xmlns="b90ad063-18ad-4023-a8d9-ba1a0d0e66b8">
      <UserInfo>
        <DisplayName>CHAPEAUX Loïc ( FFB DAEFI )</DisplayName>
        <AccountId>18</AccountId>
        <AccountType/>
      </UserInfo>
      <UserInfo>
        <DisplayName>REYES HUBER Ximena ( FFB DAEFI )</DisplayName>
        <AccountId>25</AccountId>
        <AccountType/>
      </UserInfo>
      <UserInfo>
        <DisplayName>WANDE Alfred ( FFB DAEFI/DCP )</DisplayName>
        <AccountId>50</AccountId>
        <AccountType/>
      </UserInfo>
      <UserInfo>
        <DisplayName>PARTOUCHE Denise ( FFB DAEFI/SEE )</DisplayName>
        <AccountId>54</AccountId>
        <AccountType/>
      </UserInfo>
      <UserInfo>
        <DisplayName>DUSSAUX Hélène ( FFB DAEFI/SEE )</DisplayName>
        <AccountId>26</AccountId>
        <AccountType/>
      </UserInfo>
      <UserInfo>
        <DisplayName>ALLINE Nicolas ( FFB DAEFI/SEE )</DisplayName>
        <AccountId>42</AccountId>
        <AccountType/>
      </UserInfo>
      <UserInfo>
        <DisplayName>VESSILLIER Delphine ( FFB DAEFI/SEES )</DisplayName>
        <AccountId>28</AccountId>
        <AccountType/>
      </UserInfo>
      <UserInfo>
        <DisplayName>PARSY Nathalie ( FFB DAEFI/SEES )</DisplayName>
        <AccountId>43</AccountId>
        <AccountType/>
      </UserInfo>
      <UserInfo>
        <DisplayName>MEDANI Sidina ( FFB DAEFI/SEES )</DisplayName>
        <AccountId>44</AccountId>
        <AccountType/>
      </UserInfo>
      <UserInfo>
        <DisplayName>DIALLO Myriam ( FFB DAEFI/QI )</DisplayName>
        <AccountId>19</AccountId>
        <AccountType/>
      </UserInfo>
      <UserInfo>
        <DisplayName>PROMEYRAT Antoine ( FFB DAEFI/DCP )</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B086F-3BB6-427E-AFC2-0FD14C3D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8c5b-eb8b-44b6-acb4-096b356a2fab"/>
    <ds:schemaRef ds:uri="b90ad063-18ad-4023-a8d9-ba1a0d0e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2FD89-651D-49F5-A6DC-DA9EB4B1F50D}">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b90ad063-18ad-4023-a8d9-ba1a0d0e66b8"/>
    <ds:schemaRef ds:uri="40598c5b-eb8b-44b6-acb4-096b356a2fab"/>
  </ds:schemaRefs>
</ds:datastoreItem>
</file>

<file path=customXml/itemProps3.xml><?xml version="1.0" encoding="utf-8"?>
<ds:datastoreItem xmlns:ds="http://schemas.openxmlformats.org/officeDocument/2006/customXml" ds:itemID="{1E88C0D9-92EC-47F4-AD73-BD7295074AD3}">
  <ds:schemaRefs>
    <ds:schemaRef ds:uri="http://schemas.openxmlformats.org/officeDocument/2006/bibliography"/>
  </ds:schemaRefs>
</ds:datastoreItem>
</file>

<file path=customXml/itemProps4.xml><?xml version="1.0" encoding="utf-8"?>
<ds:datastoreItem xmlns:ds="http://schemas.openxmlformats.org/officeDocument/2006/customXml" ds:itemID="{306B2621-3F2D-4972-9254-2269A043D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3838</Words>
  <Characters>21109</Characters>
  <Application>Microsoft Office Word</Application>
  <DocSecurity>4</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FFB</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Eric ( FFB SEE )</dc:creator>
  <cp:keywords>2023</cp:keywords>
  <dc:description/>
  <cp:lastModifiedBy>CUCHEVAL Anaïk ( FFB Editions Presse et communication )</cp:lastModifiedBy>
  <cp:revision>2</cp:revision>
  <cp:lastPrinted>2019-09-10T05:53:00Z</cp:lastPrinted>
  <dcterms:created xsi:type="dcterms:W3CDTF">2023-12-12T18:37:00Z</dcterms:created>
  <dcterms:modified xsi:type="dcterms:W3CDTF">2023-12-12T18:37:00Z</dcterms:modified>
  <cp:category>Conférences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0x010100FC0EB64245E8C943AB90D04A548EC969</vt:lpwstr>
  </property>
  <property fmtid="{D5CDD505-2E9C-101B-9397-08002B2CF9AE}" pid="3" name="IsMyDocuments">
    <vt:bool>true</vt:bool>
  </property>
  <property fmtid="{D5CDD505-2E9C-101B-9397-08002B2CF9AE}" pid="4" name="Thèmes du document">
    <vt:lpwstr>27;#Documents provisoires|30b414c5-c73a-4a2f-bfe1-8284126dc5b0</vt:lpwstr>
  </property>
  <property fmtid="{D5CDD505-2E9C-101B-9397-08002B2CF9AE}" pid="5" name="MSIP_Label_1e275c48-540b-4531-9942-dfd8903bc3f9_Enabled">
    <vt:lpwstr>true</vt:lpwstr>
  </property>
  <property fmtid="{D5CDD505-2E9C-101B-9397-08002B2CF9AE}" pid="6" name="MSIP_Label_1e275c48-540b-4531-9942-dfd8903bc3f9_SetDate">
    <vt:lpwstr>2022-12-13T09:44:07Z</vt:lpwstr>
  </property>
  <property fmtid="{D5CDD505-2E9C-101B-9397-08002B2CF9AE}" pid="7" name="MSIP_Label_1e275c48-540b-4531-9942-dfd8903bc3f9_Method">
    <vt:lpwstr>Privileged</vt:lpwstr>
  </property>
  <property fmtid="{D5CDD505-2E9C-101B-9397-08002B2CF9AE}" pid="8" name="MSIP_Label_1e275c48-540b-4531-9942-dfd8903bc3f9_Name">
    <vt:lpwstr>1e275c48-540b-4531-9942-dfd8903bc3f9</vt:lpwstr>
  </property>
  <property fmtid="{D5CDD505-2E9C-101B-9397-08002B2CF9AE}" pid="9" name="MSIP_Label_1e275c48-540b-4531-9942-dfd8903bc3f9_SiteId">
    <vt:lpwstr>92410b1b-4b46-4710-b23c-c3a3814046a4</vt:lpwstr>
  </property>
  <property fmtid="{D5CDD505-2E9C-101B-9397-08002B2CF9AE}" pid="10" name="MSIP_Label_1e275c48-540b-4531-9942-dfd8903bc3f9_ActionId">
    <vt:lpwstr>afa3ead1-8651-4245-847d-2becbc083800</vt:lpwstr>
  </property>
  <property fmtid="{D5CDD505-2E9C-101B-9397-08002B2CF9AE}" pid="11" name="MSIP_Label_1e275c48-540b-4531-9942-dfd8903bc3f9_ContentBits">
    <vt:lpwstr>0</vt:lpwstr>
  </property>
</Properties>
</file>