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A025" w14:textId="711C6AE6" w:rsidR="009D37FD" w:rsidRPr="004D7BCC" w:rsidRDefault="009D37FD" w:rsidP="008367C2">
      <w:pPr>
        <w:jc w:val="center"/>
        <w:rPr>
          <w:rFonts w:ascii="Helvetica Neue" w:hAnsi="Helvetica Neue"/>
          <w:b/>
          <w:bCs/>
          <w:color w:val="4472C4" w:themeColor="accent1"/>
        </w:rPr>
      </w:pPr>
      <w:r w:rsidRPr="004D7BCC">
        <w:rPr>
          <w:rFonts w:ascii="Helvetica Neue" w:hAnsi="Helvetica Neue"/>
          <w:b/>
          <w:bCs/>
          <w:color w:val="4472C4" w:themeColor="accent1"/>
        </w:rPr>
        <w:t>Règlement relatif à un cadre de surveillance pour des forêts européennes résilientes</w:t>
      </w:r>
    </w:p>
    <w:p w14:paraId="3B8E6E44" w14:textId="77777777" w:rsidR="009D37FD" w:rsidRPr="004D7BCC" w:rsidRDefault="009D37FD" w:rsidP="008367C2">
      <w:pPr>
        <w:jc w:val="both"/>
        <w:rPr>
          <w:rFonts w:ascii="Helvetica Neue" w:hAnsi="Helvetica Neue"/>
          <w:sz w:val="22"/>
          <w:szCs w:val="22"/>
        </w:rPr>
      </w:pPr>
    </w:p>
    <w:p w14:paraId="6408773A" w14:textId="77777777" w:rsidR="009D37FD" w:rsidRPr="004D7BCC" w:rsidRDefault="009D37FD" w:rsidP="008367C2">
      <w:pPr>
        <w:jc w:val="both"/>
        <w:rPr>
          <w:rFonts w:ascii="Helvetica Neue" w:hAnsi="Helvetica Neue"/>
          <w:sz w:val="22"/>
          <w:szCs w:val="22"/>
        </w:rPr>
      </w:pPr>
    </w:p>
    <w:p w14:paraId="1434CDFC" w14:textId="69A35F5D" w:rsidR="00000000" w:rsidRPr="004D7BCC" w:rsidRDefault="009D37FD" w:rsidP="008367C2">
      <w:pPr>
        <w:jc w:val="both"/>
        <w:rPr>
          <w:rFonts w:ascii="Helvetica Neue" w:hAnsi="Helvetica Neue"/>
          <w:b/>
          <w:bCs/>
          <w:color w:val="4472C4" w:themeColor="accent1"/>
        </w:rPr>
      </w:pPr>
      <w:r w:rsidRPr="004D7BCC">
        <w:rPr>
          <w:rFonts w:ascii="Helvetica Neue" w:hAnsi="Helvetica Neue"/>
          <w:b/>
          <w:bCs/>
          <w:color w:val="4472C4" w:themeColor="accent1"/>
        </w:rPr>
        <w:t>Constats</w:t>
      </w:r>
    </w:p>
    <w:p w14:paraId="54F8D938" w14:textId="77777777" w:rsidR="009D37FD" w:rsidRPr="004D7BCC" w:rsidRDefault="009D37FD" w:rsidP="008367C2">
      <w:pPr>
        <w:jc w:val="both"/>
        <w:rPr>
          <w:rFonts w:ascii="Helvetica Neue" w:hAnsi="Helvetica Neue"/>
          <w:sz w:val="22"/>
          <w:szCs w:val="22"/>
        </w:rPr>
      </w:pPr>
    </w:p>
    <w:p w14:paraId="3886673D" w14:textId="35A7F1A9" w:rsidR="009D37FD" w:rsidRPr="004D7BCC" w:rsidRDefault="009D37FD"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forêts couvrent près de la moitié de la surface terrestre de l’Union européenne et joue un rôle essentiel dans l’adaptation et la mitigation du changement climatique ;</w:t>
      </w:r>
    </w:p>
    <w:p w14:paraId="26AB539F" w14:textId="721F1E1A" w:rsidR="009D37FD" w:rsidRPr="004D7BCC" w:rsidRDefault="009D37FD"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Des forêts en bonne santé supportent une part importante de la bioéconomie de l’Union, fournissant des matières premières et dont l’ensemble des activités de la chaîne de valeur représente 4,5 millions d’emplois dans l’Union ;</w:t>
      </w:r>
    </w:p>
    <w:p w14:paraId="1D59B860" w14:textId="7303CCE0" w:rsidR="009D37FD" w:rsidRPr="004D7BCC" w:rsidRDefault="00537246"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terres forestières constituent le principal puits de carbone de l'Union.</w:t>
      </w:r>
    </w:p>
    <w:p w14:paraId="344A7704" w14:textId="5A283FF7" w:rsidR="00537246" w:rsidRPr="004D7BCC" w:rsidRDefault="00537246"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Néanmoins, les forêts sont fortement affectées par des évènements comme les sécheresses, les incendies et les épidémies.</w:t>
      </w:r>
    </w:p>
    <w:p w14:paraId="654FA585" w14:textId="7F0B5CF2" w:rsidR="00537246" w:rsidRPr="004D7BCC" w:rsidRDefault="00537246"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Une part importante des forêts de l’Union sont vulnérables, avec des conséquences négatives pour les individus exploitants les forêts et la capacité des forêts à subvenir aux besoins des écosystèmes.</w:t>
      </w:r>
    </w:p>
    <w:p w14:paraId="35176B52" w14:textId="0031A8D7" w:rsidR="00537246" w:rsidRPr="004D7BCC" w:rsidRDefault="00537246"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La Commission estime les pertes liées aux incendies à 1,5 milliard d’euros par an et les coûts liés aux risques liés au changement climatique pourraient s’élever à plusieurs centaines de milliards d’euros d’ici à la fin du siècle. </w:t>
      </w:r>
    </w:p>
    <w:p w14:paraId="0A0B07D8" w14:textId="28FEAD70" w:rsidR="0077405C" w:rsidRPr="004D7BCC" w:rsidRDefault="0077405C" w:rsidP="008367C2">
      <w:pPr>
        <w:pStyle w:val="Paragraphedeliste"/>
        <w:numPr>
          <w:ilvl w:val="0"/>
          <w:numId w:val="1"/>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L'intégration des données de télédétection et des données au sol reste problématique en raison du manque d'interopérabilité et d'accessibilité des données au sol, souvent lié à des préoccupations relatives à la confidentialité des données.</w:t>
      </w:r>
    </w:p>
    <w:p w14:paraId="29F6DAAF" w14:textId="77777777" w:rsidR="009D37FD" w:rsidRPr="004D7BCC" w:rsidRDefault="009D37FD" w:rsidP="008367C2">
      <w:pPr>
        <w:jc w:val="both"/>
        <w:rPr>
          <w:rFonts w:ascii="Helvetica Neue" w:hAnsi="Helvetica Neue"/>
          <w:sz w:val="22"/>
          <w:szCs w:val="22"/>
        </w:rPr>
      </w:pPr>
    </w:p>
    <w:p w14:paraId="733A19D7" w14:textId="6D91BA7C" w:rsidR="009D37FD" w:rsidRPr="004D7BCC" w:rsidRDefault="009D37FD" w:rsidP="008367C2">
      <w:pPr>
        <w:jc w:val="both"/>
        <w:rPr>
          <w:rFonts w:ascii="Helvetica Neue" w:hAnsi="Helvetica Neue"/>
          <w:b/>
          <w:bCs/>
          <w:color w:val="4472C4" w:themeColor="accent1"/>
        </w:rPr>
      </w:pPr>
      <w:r w:rsidRPr="004D7BCC">
        <w:rPr>
          <w:rFonts w:ascii="Helvetica Neue" w:hAnsi="Helvetica Neue"/>
          <w:b/>
          <w:bCs/>
          <w:color w:val="4472C4" w:themeColor="accent1"/>
        </w:rPr>
        <w:t>Objectifs</w:t>
      </w:r>
    </w:p>
    <w:p w14:paraId="05516321" w14:textId="77777777" w:rsidR="009D37FD" w:rsidRPr="004D7BCC" w:rsidRDefault="009D37FD" w:rsidP="008367C2">
      <w:pPr>
        <w:jc w:val="both"/>
        <w:rPr>
          <w:rFonts w:ascii="Helvetica Neue" w:hAnsi="Helvetica Neue"/>
          <w:sz w:val="22"/>
          <w:szCs w:val="22"/>
        </w:rPr>
      </w:pPr>
    </w:p>
    <w:p w14:paraId="18F89251" w14:textId="48BFAC4C" w:rsidR="009D37FD" w:rsidRPr="004D7BCC" w:rsidRDefault="00537246"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Prendre des mesures éclairées grâce à des données cohérentes, fiables et en temps utile.</w:t>
      </w:r>
    </w:p>
    <w:p w14:paraId="019F3501" w14:textId="148DA526" w:rsidR="00537246" w:rsidRPr="004D7BCC" w:rsidRDefault="00537246"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Mettre en place un système européen harmonisé de surveillance des forêts afin de pouvoir collecter et partager ces données pour permettre la prise de décision.</w:t>
      </w:r>
    </w:p>
    <w:p w14:paraId="7B4AC228" w14:textId="25CD6E18" w:rsidR="00537246" w:rsidRPr="004D7BCC" w:rsidRDefault="00537246"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Évaluer la vulnérabilité et la résilience au changement climatique des forêts.</w:t>
      </w:r>
    </w:p>
    <w:p w14:paraId="22D3A4E6" w14:textId="79A1E57D" w:rsidR="0077405C" w:rsidRPr="004D7BCC" w:rsidRDefault="0077405C"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Moderniser, digitaliser et standardiser la surveillance des forêts.</w:t>
      </w:r>
    </w:p>
    <w:p w14:paraId="0CCBF283" w14:textId="144D733F" w:rsidR="0077405C" w:rsidRPr="004D7BCC" w:rsidRDefault="0077405C"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 xml:space="preserve">Aider à l’implémentation des objectifs de la directive RED et du règlement UTCATF, ainsi que les futures politiques de l’Union. </w:t>
      </w:r>
    </w:p>
    <w:p w14:paraId="26D82499" w14:textId="3ABE11BB" w:rsidR="0077405C" w:rsidRPr="004D7BCC" w:rsidRDefault="0077405C"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 xml:space="preserve">Mettre en place un système de partage de ces données, avec la Commission, entre </w:t>
      </w:r>
      <w:proofErr w:type="gramStart"/>
      <w:r w:rsidRPr="004D7BCC">
        <w:rPr>
          <w:rFonts w:ascii="Helvetica Neue" w:hAnsi="Helvetica Neue"/>
          <w:sz w:val="22"/>
          <w:szCs w:val="22"/>
        </w:rPr>
        <w:t>les</w:t>
      </w:r>
      <w:proofErr w:type="gramEnd"/>
      <w:r w:rsidRPr="004D7BCC">
        <w:rPr>
          <w:rFonts w:ascii="Helvetica Neue" w:hAnsi="Helvetica Neue"/>
          <w:sz w:val="22"/>
          <w:szCs w:val="22"/>
        </w:rPr>
        <w:t xml:space="preserve"> États membres et avec le grand public. </w:t>
      </w:r>
    </w:p>
    <w:p w14:paraId="796EE8FC" w14:textId="62CA55AB" w:rsidR="0077405C" w:rsidRPr="004D7BCC" w:rsidRDefault="0077405C"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Identifier et localiser les forêts qui ont des caractéristiques communes.</w:t>
      </w:r>
    </w:p>
    <w:p w14:paraId="0DEA1393" w14:textId="2358EB60" w:rsidR="0077405C" w:rsidRPr="004D7BCC" w:rsidRDefault="0077405C" w:rsidP="008367C2">
      <w:pPr>
        <w:pStyle w:val="Paragraphedeliste"/>
        <w:numPr>
          <w:ilvl w:val="0"/>
          <w:numId w:val="2"/>
        </w:numPr>
        <w:jc w:val="both"/>
        <w:rPr>
          <w:rFonts w:ascii="Helvetica Neue" w:hAnsi="Helvetica Neue"/>
          <w:sz w:val="22"/>
          <w:szCs w:val="22"/>
        </w:rPr>
      </w:pPr>
      <w:r w:rsidRPr="004D7BCC">
        <w:rPr>
          <w:rFonts w:ascii="Helvetica Neue" w:hAnsi="Helvetica Neue"/>
          <w:sz w:val="22"/>
          <w:szCs w:val="22"/>
        </w:rPr>
        <w:t xml:space="preserve">Développer la gouvernance et la coopération entre les États membres et avec la Commission. </w:t>
      </w:r>
    </w:p>
    <w:p w14:paraId="32B0EFC7" w14:textId="77777777" w:rsidR="009D37FD" w:rsidRPr="004D7BCC" w:rsidRDefault="009D37FD" w:rsidP="008367C2">
      <w:pPr>
        <w:jc w:val="both"/>
        <w:rPr>
          <w:rFonts w:ascii="Helvetica Neue" w:hAnsi="Helvetica Neue"/>
          <w:sz w:val="22"/>
          <w:szCs w:val="22"/>
        </w:rPr>
      </w:pPr>
    </w:p>
    <w:p w14:paraId="3025A5D7" w14:textId="0820B555" w:rsidR="009D37FD" w:rsidRPr="004D7BCC" w:rsidRDefault="009D37FD" w:rsidP="008367C2">
      <w:pPr>
        <w:jc w:val="both"/>
        <w:rPr>
          <w:rFonts w:ascii="Helvetica Neue" w:hAnsi="Helvetica Neue"/>
          <w:b/>
          <w:bCs/>
          <w:color w:val="4472C4" w:themeColor="accent1"/>
        </w:rPr>
      </w:pPr>
      <w:r w:rsidRPr="004D7BCC">
        <w:rPr>
          <w:rFonts w:ascii="Helvetica Neue" w:hAnsi="Helvetica Neue"/>
          <w:b/>
          <w:bCs/>
          <w:color w:val="4472C4" w:themeColor="accent1"/>
        </w:rPr>
        <w:t>Contenu et obligations légales</w:t>
      </w:r>
    </w:p>
    <w:p w14:paraId="0FC561BB" w14:textId="77777777" w:rsidR="0077405C" w:rsidRPr="0077405C" w:rsidRDefault="0077405C" w:rsidP="008367C2">
      <w:pPr>
        <w:jc w:val="both"/>
        <w:rPr>
          <w:rFonts w:ascii="Helvetica Neue" w:hAnsi="Helvetica Neue"/>
          <w:sz w:val="22"/>
          <w:szCs w:val="22"/>
        </w:rPr>
      </w:pPr>
      <w:r w:rsidRPr="0077405C">
        <w:rPr>
          <w:rFonts w:ascii="Helvetica Neue" w:hAnsi="Helvetica Neue"/>
          <w:i/>
          <w:iCs/>
          <w:sz w:val="22"/>
          <w:szCs w:val="22"/>
        </w:rPr>
        <w:t>La version française de la proposition n’ayant pas encore été publiée, ceci est une traduction non-officielle</w:t>
      </w:r>
      <w:r w:rsidRPr="0077405C">
        <w:rPr>
          <w:rFonts w:ascii="Helvetica Neue" w:hAnsi="Helvetica Neue"/>
          <w:sz w:val="22"/>
          <w:szCs w:val="22"/>
        </w:rPr>
        <w:t>.</w:t>
      </w:r>
    </w:p>
    <w:p w14:paraId="4A085B98" w14:textId="77777777" w:rsidR="009D37FD" w:rsidRPr="004D7BCC" w:rsidRDefault="009D37FD" w:rsidP="008367C2">
      <w:pPr>
        <w:jc w:val="both"/>
        <w:rPr>
          <w:rFonts w:ascii="Helvetica Neue" w:hAnsi="Helvetica Neue"/>
          <w:sz w:val="22"/>
          <w:szCs w:val="22"/>
        </w:rPr>
      </w:pPr>
    </w:p>
    <w:p w14:paraId="745CA1D2" w14:textId="18B9D443" w:rsidR="009D37FD" w:rsidRPr="004D7BCC" w:rsidRDefault="0077405C" w:rsidP="008367C2">
      <w:pPr>
        <w:jc w:val="both"/>
        <w:rPr>
          <w:rFonts w:ascii="Helvetica Neue" w:hAnsi="Helvetica Neue"/>
          <w:sz w:val="22"/>
          <w:szCs w:val="22"/>
        </w:rPr>
      </w:pPr>
      <w:r w:rsidRPr="004D7BCC">
        <w:rPr>
          <w:rFonts w:ascii="Helvetica Neue" w:hAnsi="Helvetica Neue"/>
          <w:sz w:val="22"/>
          <w:szCs w:val="22"/>
        </w:rPr>
        <w:t xml:space="preserve">Le règlement comporte 4 chapitres et 17 articles. </w:t>
      </w:r>
    </w:p>
    <w:p w14:paraId="2708C2E7" w14:textId="77777777" w:rsidR="0077405C" w:rsidRPr="0077405C" w:rsidRDefault="0077405C" w:rsidP="008367C2">
      <w:pPr>
        <w:jc w:val="both"/>
        <w:rPr>
          <w:rFonts w:ascii="Helvetica Neue" w:hAnsi="Helvetica Neue"/>
          <w:sz w:val="22"/>
          <w:szCs w:val="22"/>
        </w:rPr>
      </w:pPr>
      <w:r w:rsidRPr="0077405C">
        <w:rPr>
          <w:rFonts w:ascii="Helvetica Neue" w:hAnsi="Helvetica Neue"/>
          <w:sz w:val="22"/>
          <w:szCs w:val="22"/>
        </w:rPr>
        <w:t xml:space="preserve">Les dispositions contenues dans la directive s’adressent </w:t>
      </w:r>
      <w:r w:rsidRPr="0077405C">
        <w:rPr>
          <w:rFonts w:ascii="Helvetica Neue" w:hAnsi="Helvetica Neue"/>
          <w:b/>
          <w:bCs/>
          <w:sz w:val="22"/>
          <w:szCs w:val="22"/>
        </w:rPr>
        <w:t>aux États membres.</w:t>
      </w:r>
      <w:r w:rsidRPr="0077405C">
        <w:rPr>
          <w:rFonts w:ascii="Helvetica Neue" w:hAnsi="Helvetica Neue"/>
          <w:sz w:val="22"/>
          <w:szCs w:val="22"/>
        </w:rPr>
        <w:t xml:space="preserve"> </w:t>
      </w:r>
    </w:p>
    <w:p w14:paraId="1C0A6807" w14:textId="10A863C9" w:rsidR="0077405C" w:rsidRPr="004D7BCC" w:rsidRDefault="0077405C" w:rsidP="008367C2">
      <w:pPr>
        <w:jc w:val="both"/>
        <w:rPr>
          <w:rFonts w:ascii="Helvetica Neue" w:hAnsi="Helvetica Neue"/>
          <w:sz w:val="22"/>
          <w:szCs w:val="22"/>
        </w:rPr>
      </w:pPr>
    </w:p>
    <w:p w14:paraId="7131AEF9" w14:textId="14064B6E" w:rsidR="006635D0" w:rsidRPr="004D7BCC" w:rsidRDefault="006635D0" w:rsidP="008367C2">
      <w:pPr>
        <w:jc w:val="both"/>
        <w:rPr>
          <w:rFonts w:ascii="Helvetica Neue" w:hAnsi="Helvetica Neue"/>
          <w:b/>
          <w:bCs/>
          <w:sz w:val="22"/>
          <w:szCs w:val="22"/>
        </w:rPr>
      </w:pPr>
      <w:r w:rsidRPr="004D7BCC">
        <w:rPr>
          <w:rFonts w:ascii="Helvetica Neue" w:hAnsi="Helvetica Neue"/>
          <w:b/>
          <w:bCs/>
          <w:sz w:val="22"/>
          <w:szCs w:val="22"/>
        </w:rPr>
        <w:t>Chapitre 1</w:t>
      </w:r>
      <w:r w:rsidRPr="004D7BCC">
        <w:rPr>
          <w:rFonts w:ascii="Helvetica Neue" w:hAnsi="Helvetica Neue"/>
          <w:sz w:val="22"/>
          <w:szCs w:val="22"/>
        </w:rPr>
        <w:t xml:space="preserve"> : </w:t>
      </w:r>
      <w:r w:rsidRPr="004D7BCC">
        <w:rPr>
          <w:rFonts w:ascii="Helvetica Neue" w:hAnsi="Helvetica Neue"/>
          <w:b/>
          <w:bCs/>
          <w:sz w:val="22"/>
          <w:szCs w:val="22"/>
        </w:rPr>
        <w:t>Dispositions générales</w:t>
      </w:r>
    </w:p>
    <w:p w14:paraId="210FD3CC" w14:textId="77777777" w:rsidR="004D7BCC" w:rsidRDefault="004D7BCC" w:rsidP="008367C2">
      <w:pPr>
        <w:jc w:val="both"/>
        <w:rPr>
          <w:rFonts w:ascii="Helvetica Neue" w:hAnsi="Helvetica Neue"/>
          <w:i/>
          <w:iCs/>
          <w:color w:val="4472C4" w:themeColor="accent1"/>
          <w:sz w:val="22"/>
          <w:szCs w:val="22"/>
        </w:rPr>
      </w:pPr>
    </w:p>
    <w:p w14:paraId="7FB5EFE5" w14:textId="3A030627" w:rsidR="0077405C" w:rsidRPr="004D7BCC" w:rsidRDefault="0077405C" w:rsidP="008367C2">
      <w:pPr>
        <w:jc w:val="both"/>
        <w:rPr>
          <w:rFonts w:ascii="Helvetica Neue" w:hAnsi="Helvetica Neue"/>
          <w:color w:val="4472C4" w:themeColor="accent1"/>
          <w:sz w:val="22"/>
          <w:szCs w:val="22"/>
        </w:rPr>
      </w:pPr>
      <w:r w:rsidRPr="004D7BCC">
        <w:rPr>
          <w:rFonts w:ascii="Helvetica Neue" w:hAnsi="Helvetica Neue"/>
          <w:i/>
          <w:iCs/>
          <w:color w:val="4472C4" w:themeColor="accent1"/>
          <w:sz w:val="22"/>
          <w:szCs w:val="22"/>
        </w:rPr>
        <w:t>Article 1 : Objet</w:t>
      </w:r>
    </w:p>
    <w:p w14:paraId="5DC3AD27" w14:textId="77777777" w:rsidR="006635D0" w:rsidRPr="004D7BCC" w:rsidRDefault="006635D0" w:rsidP="008367C2">
      <w:pPr>
        <w:jc w:val="both"/>
        <w:rPr>
          <w:rFonts w:ascii="Helvetica Neue" w:hAnsi="Helvetica Neue"/>
          <w:color w:val="4472C4" w:themeColor="accent1"/>
          <w:sz w:val="22"/>
          <w:szCs w:val="22"/>
        </w:rPr>
      </w:pPr>
    </w:p>
    <w:p w14:paraId="6F93B7B8" w14:textId="6CD66FE5" w:rsidR="006635D0" w:rsidRPr="004D7BCC" w:rsidRDefault="006635D0"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lastRenderedPageBreak/>
        <w:t>Le règlement établit un cadre de surveillance des forêts pour l'Union en prévoyant des règles</w:t>
      </w:r>
      <w:r w:rsidRPr="004D7BCC">
        <w:rPr>
          <w:rFonts w:ascii="Helvetica Neue" w:hAnsi="Helvetica Neue"/>
          <w:color w:val="000000" w:themeColor="text1"/>
          <w:sz w:val="22"/>
          <w:szCs w:val="22"/>
        </w:rPr>
        <w:t xml:space="preserve"> afin de </w:t>
      </w:r>
      <w:r w:rsidRPr="004D7BCC">
        <w:rPr>
          <w:rFonts w:ascii="Helvetica Neue" w:hAnsi="Helvetica Neue"/>
          <w:color w:val="000000" w:themeColor="text1"/>
          <w:sz w:val="22"/>
          <w:szCs w:val="22"/>
        </w:rPr>
        <w:t>:</w:t>
      </w:r>
    </w:p>
    <w:p w14:paraId="42B4B784" w14:textId="18A08435" w:rsidR="006635D0" w:rsidRPr="004D7BCC" w:rsidRDefault="006635D0" w:rsidP="008367C2">
      <w:pPr>
        <w:pStyle w:val="Paragraphedeliste"/>
        <w:numPr>
          <w:ilvl w:val="0"/>
          <w:numId w:val="3"/>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Garantir</w:t>
      </w:r>
      <w:r w:rsidRPr="004D7BCC">
        <w:rPr>
          <w:rFonts w:ascii="Helvetica Neue" w:hAnsi="Helvetica Neue"/>
          <w:color w:val="000000" w:themeColor="text1"/>
          <w:sz w:val="22"/>
          <w:szCs w:val="22"/>
        </w:rPr>
        <w:t xml:space="preserve"> l'actualité, l'exactitude, la cohérence, la transparence, la comparabilité et l'exhaustivité des données forestières au sein de l'Union, ainsi que leur accessibilité au public ;</w:t>
      </w:r>
    </w:p>
    <w:p w14:paraId="72379553" w14:textId="59C33E55" w:rsidR="006635D0" w:rsidRPr="004D7BCC" w:rsidRDefault="006635D0" w:rsidP="008367C2">
      <w:pPr>
        <w:pStyle w:val="Paragraphedeliste"/>
        <w:numPr>
          <w:ilvl w:val="0"/>
          <w:numId w:val="3"/>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Soutenir</w:t>
      </w:r>
      <w:r w:rsidRPr="004D7BCC">
        <w:rPr>
          <w:rFonts w:ascii="Helvetica Neue" w:hAnsi="Helvetica Neue"/>
          <w:color w:val="000000" w:themeColor="text1"/>
          <w:sz w:val="22"/>
          <w:szCs w:val="22"/>
        </w:rPr>
        <w:t xml:space="preserve"> l'élaboration volontaire de plans intégrés à long terme au niveau des États membres grâce à une approche fondée sur des données probantes, inclusive, intersectorielle et adaptative ;</w:t>
      </w:r>
    </w:p>
    <w:p w14:paraId="1C1D6802" w14:textId="2122AC82" w:rsidR="006635D0" w:rsidRPr="004D7BCC" w:rsidRDefault="006635D0" w:rsidP="008367C2">
      <w:pPr>
        <w:pStyle w:val="Paragraphedeliste"/>
        <w:numPr>
          <w:ilvl w:val="0"/>
          <w:numId w:val="3"/>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Mettre</w:t>
      </w:r>
      <w:r w:rsidRPr="004D7BCC">
        <w:rPr>
          <w:rFonts w:ascii="Helvetica Neue" w:hAnsi="Helvetica Neue"/>
          <w:color w:val="000000" w:themeColor="text1"/>
          <w:sz w:val="22"/>
          <w:szCs w:val="22"/>
        </w:rPr>
        <w:t xml:space="preserve"> en place une gouvernance renforcée entre la Commission et les États membres.</w:t>
      </w:r>
    </w:p>
    <w:p w14:paraId="489EC573" w14:textId="77777777" w:rsidR="006635D0" w:rsidRPr="004D7BCC" w:rsidRDefault="006635D0" w:rsidP="008367C2">
      <w:pPr>
        <w:jc w:val="both"/>
        <w:rPr>
          <w:rFonts w:ascii="Helvetica Neue" w:hAnsi="Helvetica Neue"/>
          <w:color w:val="000000" w:themeColor="text1"/>
          <w:sz w:val="22"/>
          <w:szCs w:val="22"/>
        </w:rPr>
      </w:pPr>
    </w:p>
    <w:p w14:paraId="4FBF15E3" w14:textId="4A00813A" w:rsidR="006635D0" w:rsidRPr="004D7BCC" w:rsidRDefault="006635D0"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Il établit des règles relatives à la collecte et à la mise à disposition d’informations destinées à soutenir</w:t>
      </w:r>
      <w:r w:rsidR="008367C2" w:rsidRPr="004D7BCC">
        <w:rPr>
          <w:rFonts w:ascii="Helvetica Neue" w:hAnsi="Helvetica Neue"/>
          <w:color w:val="000000" w:themeColor="text1"/>
          <w:sz w:val="22"/>
          <w:szCs w:val="22"/>
        </w:rPr>
        <w:t xml:space="preserve"> : </w:t>
      </w:r>
    </w:p>
    <w:p w14:paraId="5F1550D0" w14:textId="0183235E" w:rsidR="008367C2" w:rsidRPr="004D7BCC" w:rsidRDefault="008367C2" w:rsidP="008367C2">
      <w:pPr>
        <w:pStyle w:val="Paragraphedeliste"/>
        <w:numPr>
          <w:ilvl w:val="0"/>
          <w:numId w:val="5"/>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w:t>
      </w:r>
      <w:r w:rsidRPr="004D7BCC">
        <w:rPr>
          <w:rFonts w:ascii="Helvetica Neue" w:hAnsi="Helvetica Neue"/>
          <w:color w:val="000000" w:themeColor="text1"/>
          <w:sz w:val="22"/>
          <w:szCs w:val="22"/>
        </w:rPr>
        <w:t>a mise en œuvre de la législation et des politiques de l'Union relatives à la conservation, à la restauration et à l'utilisation durable des écosystèmes forestiers et de leurs services, en accordant une attention particulière à l'objectif consistant à accroître la résilience des forêts et à permettre la sauvegarde de la multifonctionnalité des forêts, y compris en ce qui concerne</w:t>
      </w:r>
      <w:r w:rsidRPr="004D7BCC">
        <w:rPr>
          <w:rFonts w:ascii="Helvetica Neue" w:hAnsi="Helvetica Neue"/>
          <w:color w:val="000000" w:themeColor="text1"/>
          <w:sz w:val="22"/>
          <w:szCs w:val="22"/>
        </w:rPr>
        <w:t> :</w:t>
      </w:r>
    </w:p>
    <w:p w14:paraId="0AE4CA1F" w14:textId="4A5BFAA9"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l'adaptation</w:t>
      </w:r>
      <w:proofErr w:type="gramEnd"/>
      <w:r w:rsidRPr="004D7BCC">
        <w:rPr>
          <w:rFonts w:ascii="Helvetica Neue" w:hAnsi="Helvetica Neue"/>
          <w:color w:val="000000" w:themeColor="text1"/>
          <w:sz w:val="22"/>
          <w:szCs w:val="22"/>
        </w:rPr>
        <w:t xml:space="preserve"> au changement climatique et l'atténuation de ses effets</w:t>
      </w:r>
    </w:p>
    <w:p w14:paraId="062AC8C1" w14:textId="770A897A"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biodiversité</w:t>
      </w:r>
    </w:p>
    <w:p w14:paraId="32643E26" w14:textId="6F3167A1"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prévention et la gestion des risques de catastrophe</w:t>
      </w:r>
    </w:p>
    <w:p w14:paraId="4AB10DD2" w14:textId="66704A34"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santé des forêts</w:t>
      </w:r>
    </w:p>
    <w:p w14:paraId="056C1F36" w14:textId="74B5EF16"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l'utilisation</w:t>
      </w:r>
      <w:proofErr w:type="gramEnd"/>
      <w:r w:rsidRPr="004D7BCC">
        <w:rPr>
          <w:rFonts w:ascii="Helvetica Neue" w:hAnsi="Helvetica Neue"/>
          <w:color w:val="000000" w:themeColor="text1"/>
          <w:sz w:val="22"/>
          <w:szCs w:val="22"/>
        </w:rPr>
        <w:t xml:space="preserve"> de la biomasse forestière à différentes fins socio-économiques</w:t>
      </w:r>
    </w:p>
    <w:p w14:paraId="0B6C4CD6" w14:textId="1FA4FD92" w:rsidR="008367C2" w:rsidRPr="004D7BCC" w:rsidRDefault="008367C2" w:rsidP="008367C2">
      <w:pPr>
        <w:pStyle w:val="Paragraphedeliste"/>
        <w:numPr>
          <w:ilvl w:val="1"/>
          <w:numId w:val="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les</w:t>
      </w:r>
      <w:proofErr w:type="gramEnd"/>
      <w:r w:rsidRPr="004D7BCC">
        <w:rPr>
          <w:rFonts w:ascii="Helvetica Neue" w:hAnsi="Helvetica Neue"/>
          <w:color w:val="000000" w:themeColor="text1"/>
          <w:sz w:val="22"/>
          <w:szCs w:val="22"/>
        </w:rPr>
        <w:t xml:space="preserve"> espèces exotiques envahissantes</w:t>
      </w:r>
    </w:p>
    <w:p w14:paraId="10A851F8" w14:textId="36004706" w:rsidR="008367C2" w:rsidRPr="004D7BCC" w:rsidRDefault="008367C2" w:rsidP="008367C2">
      <w:pPr>
        <w:pStyle w:val="Paragraphedeliste"/>
        <w:numPr>
          <w:ilvl w:val="0"/>
          <w:numId w:val="5"/>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w:t>
      </w:r>
      <w:r w:rsidRPr="004D7BCC">
        <w:rPr>
          <w:rFonts w:ascii="Helvetica Neue" w:hAnsi="Helvetica Neue"/>
          <w:color w:val="000000" w:themeColor="text1"/>
          <w:sz w:val="22"/>
          <w:szCs w:val="22"/>
        </w:rPr>
        <w:t>a gestion nationale des forêts et la planification intégrée à long terme par les États membres, notamment pour accroître la résilience des forêts face aux incendies, aux parasites, aux sécheresses et aux autres perturbations</w:t>
      </w:r>
      <w:r w:rsidRPr="004D7BCC">
        <w:rPr>
          <w:rFonts w:ascii="Helvetica Neue" w:hAnsi="Helvetica Neue"/>
          <w:color w:val="000000" w:themeColor="text1"/>
          <w:sz w:val="22"/>
          <w:szCs w:val="22"/>
        </w:rPr>
        <w:t>.</w:t>
      </w:r>
    </w:p>
    <w:p w14:paraId="6459C6F3" w14:textId="77777777" w:rsidR="006635D0" w:rsidRPr="004D7BCC" w:rsidRDefault="006635D0" w:rsidP="008367C2">
      <w:pPr>
        <w:jc w:val="both"/>
        <w:rPr>
          <w:rFonts w:ascii="Helvetica Neue" w:hAnsi="Helvetica Neue"/>
          <w:color w:val="4472C4" w:themeColor="accent1"/>
          <w:sz w:val="22"/>
          <w:szCs w:val="22"/>
        </w:rPr>
      </w:pPr>
    </w:p>
    <w:p w14:paraId="2E4D0A28" w14:textId="4EAFEA6C"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2 : Définitions</w:t>
      </w:r>
    </w:p>
    <w:p w14:paraId="545F2322" w14:textId="77777777" w:rsidR="006635D0" w:rsidRPr="004D7BCC" w:rsidRDefault="006635D0" w:rsidP="008367C2">
      <w:pPr>
        <w:jc w:val="both"/>
        <w:rPr>
          <w:rFonts w:ascii="Helvetica Neue" w:hAnsi="Helvetica Neue"/>
          <w:color w:val="4472C4" w:themeColor="accent1"/>
          <w:sz w:val="22"/>
          <w:szCs w:val="22"/>
        </w:rPr>
      </w:pPr>
    </w:p>
    <w:p w14:paraId="31AA417B" w14:textId="2BCDF292" w:rsidR="006635D0" w:rsidRPr="004D7BCC" w:rsidRDefault="008367C2"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A noter parmi les définitions :</w:t>
      </w:r>
    </w:p>
    <w:p w14:paraId="3F9C7061" w14:textId="77777777" w:rsidR="008367C2" w:rsidRPr="004D7BCC" w:rsidRDefault="008367C2" w:rsidP="008367C2">
      <w:pPr>
        <w:jc w:val="both"/>
        <w:rPr>
          <w:rFonts w:ascii="Helvetica Neue" w:hAnsi="Helvetica Neue"/>
          <w:color w:val="000000" w:themeColor="text1"/>
          <w:sz w:val="22"/>
          <w:szCs w:val="22"/>
        </w:rPr>
      </w:pPr>
    </w:p>
    <w:p w14:paraId="05F38F89" w14:textId="1C270487"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I</w:t>
      </w:r>
      <w:r w:rsidRPr="004D7BCC">
        <w:rPr>
          <w:rFonts w:ascii="Helvetica Neue" w:hAnsi="Helvetica Neue"/>
          <w:color w:val="000000" w:themeColor="text1"/>
          <w:sz w:val="22"/>
          <w:szCs w:val="22"/>
        </w:rPr>
        <w:t>nformations géographiquement explicites</w:t>
      </w:r>
      <w:r w:rsidRPr="004D7BCC">
        <w:rPr>
          <w:rFonts w:ascii="Helvetica Neue" w:hAnsi="Helvetica Neue"/>
          <w:color w:val="000000" w:themeColor="text1"/>
          <w:sz w:val="22"/>
          <w:szCs w:val="22"/>
        </w:rPr>
        <w:t xml:space="preserve"> » : </w:t>
      </w:r>
      <w:r w:rsidRPr="004D7BCC">
        <w:rPr>
          <w:rFonts w:ascii="Helvetica Neue" w:hAnsi="Helvetica Neue"/>
          <w:color w:val="000000" w:themeColor="text1"/>
          <w:sz w:val="22"/>
          <w:szCs w:val="22"/>
        </w:rPr>
        <w:t xml:space="preserve">les informations référencées et stockées de manière à pouvoir être cartographiées et localisées avec une précision et </w:t>
      </w:r>
      <w:r w:rsidRPr="004D7BCC">
        <w:rPr>
          <w:rFonts w:ascii="Helvetica Neue" w:hAnsi="Helvetica Neue"/>
          <w:color w:val="000000" w:themeColor="text1"/>
          <w:sz w:val="22"/>
          <w:szCs w:val="22"/>
        </w:rPr>
        <w:t>une exactitude spécifique</w:t>
      </w:r>
    </w:p>
    <w:p w14:paraId="51AB85B7" w14:textId="6CBC9695"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U</w:t>
      </w:r>
      <w:r w:rsidRPr="004D7BCC">
        <w:rPr>
          <w:rFonts w:ascii="Helvetica Neue" w:hAnsi="Helvetica Neue"/>
          <w:color w:val="000000" w:themeColor="text1"/>
          <w:sz w:val="22"/>
          <w:szCs w:val="22"/>
        </w:rPr>
        <w:t>nité forestière</w:t>
      </w:r>
      <w:r w:rsidRPr="004D7BCC">
        <w:rPr>
          <w:rFonts w:ascii="Helvetica Neue" w:hAnsi="Helvetica Neue"/>
          <w:color w:val="000000" w:themeColor="text1"/>
          <w:sz w:val="22"/>
          <w:szCs w:val="22"/>
        </w:rPr>
        <w:t xml:space="preserve"> » </w:t>
      </w:r>
      <w:r w:rsidRPr="004D7BCC">
        <w:rPr>
          <w:rFonts w:ascii="Helvetica Neue" w:hAnsi="Helvetica Neue"/>
          <w:color w:val="000000" w:themeColor="text1"/>
          <w:sz w:val="22"/>
          <w:szCs w:val="22"/>
        </w:rPr>
        <w:t>: une zone géographiquement explicite représentant une zone forestière suffisamment homogène, déterminée par l'observation de la Terre et toute autre couche auxiliaire appropriée d'informations géographiquement explicites, telles que la densité du couvert végétal, les limites administratives ou les limites topographiques d'un système cartographique national</w:t>
      </w:r>
    </w:p>
    <w:p w14:paraId="458F6C3B" w14:textId="3F1D93D1"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D</w:t>
      </w:r>
      <w:r w:rsidRPr="004D7BCC">
        <w:rPr>
          <w:rFonts w:ascii="Helvetica Neue" w:hAnsi="Helvetica Neue"/>
          <w:color w:val="000000" w:themeColor="text1"/>
          <w:sz w:val="22"/>
          <w:szCs w:val="22"/>
        </w:rPr>
        <w:t>onnées forestières</w:t>
      </w:r>
      <w:r w:rsidRPr="004D7BCC">
        <w:rPr>
          <w:rFonts w:ascii="Helvetica Neue" w:hAnsi="Helvetica Neue"/>
          <w:color w:val="000000" w:themeColor="text1"/>
          <w:sz w:val="22"/>
          <w:szCs w:val="22"/>
        </w:rPr>
        <w:t> » :</w:t>
      </w:r>
      <w:r w:rsidRPr="004D7BCC">
        <w:rPr>
          <w:rFonts w:ascii="Helvetica Neue" w:hAnsi="Helvetica Neue"/>
          <w:color w:val="000000" w:themeColor="text1"/>
          <w:sz w:val="22"/>
          <w:szCs w:val="22"/>
        </w:rPr>
        <w:t xml:space="preserve"> les informations relatives à l'état et à la condition des écosystèmes forestiers et à leur utilisation, y compris les données primaires et les données agrégées dérivées de ces informations</w:t>
      </w:r>
    </w:p>
    <w:p w14:paraId="7F54CA59" w14:textId="1E418D24"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 Forêt » : </w:t>
      </w:r>
      <w:r w:rsidRPr="004D7BCC">
        <w:rPr>
          <w:rFonts w:ascii="Helvetica Neue" w:hAnsi="Helvetica Neue"/>
          <w:color w:val="000000" w:themeColor="text1"/>
          <w:sz w:val="22"/>
          <w:szCs w:val="22"/>
        </w:rPr>
        <w:t>une terre d'une superficie supérieure à 0,5 hectare avec des arbres d'une hauteur supérieure à 5 mètres et un houppier de plus de 10 %, ou des arbres capables d'atteindre ces seuils in situ, à l'exclusion des terres dont l'utilisation est principalement agricole ou urbaine. Elle comprend les zones arborées, y compris les groupes d'arbres naturels jeunes et en pleine croissance, ou les plantations qui n'ont pas encore atteint les valeurs minimales pour le houppier ou un niveau de peuplement équivalent ou une hauteur d'arbre minimale, y compris toute zone qui fait normalement partie de la zone forestière mais sur laquelle il n'y a temporairement pas d'arbres à la suite d'une intervention humaine, telle que la récolte, ou de causes naturelles, mais dont on peut s'attendre à ce qu'elle redevienne une forêt</w:t>
      </w:r>
    </w:p>
    <w:p w14:paraId="7EA6AEC6" w14:textId="3387703C"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lastRenderedPageBreak/>
        <w:t xml:space="preserve">« Autres terres boisées » : </w:t>
      </w:r>
      <w:r w:rsidRPr="004D7BCC">
        <w:rPr>
          <w:rFonts w:ascii="Helvetica Neue" w:hAnsi="Helvetica Neue"/>
          <w:color w:val="000000" w:themeColor="text1"/>
          <w:sz w:val="22"/>
          <w:szCs w:val="22"/>
        </w:rPr>
        <w:t>les terres autres que les forêts, d'une superficie supérieure à 0,5 hectare, avec des arbres d'une hauteur supérieure à 5 mètres et un couvert arboré de 5 à 10 %, ou des arbres capables d'atteindre ces seuils in situ, ou avec un couvert combiné d'arbustes, de buissons et d'arbres supérieur à 10 %. Elle exclut les terres qui sont principalement utilisées à des fins agricoles ou urbaines</w:t>
      </w:r>
    </w:p>
    <w:p w14:paraId="2ED7F9FF" w14:textId="1516E197" w:rsidR="008367C2" w:rsidRPr="004D7BCC" w:rsidRDefault="008367C2" w:rsidP="008367C2">
      <w:pPr>
        <w:pStyle w:val="Paragraphedeliste"/>
        <w:numPr>
          <w:ilvl w:val="0"/>
          <w:numId w:val="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 Données in situ » : </w:t>
      </w:r>
      <w:r w:rsidRPr="004D7BCC">
        <w:rPr>
          <w:rFonts w:ascii="Helvetica Neue" w:hAnsi="Helvetica Neue"/>
          <w:color w:val="000000" w:themeColor="text1"/>
          <w:sz w:val="22"/>
          <w:szCs w:val="22"/>
        </w:rPr>
        <w:t>les données collectées sur le terrain par un réseau de sites de surveillance suivant des protocoles normalisés. Elles comprennent la localisation géographique explicite de la mesure, géoréférencée notamment à l'aide des services du système mondial de navigation par satellite.</w:t>
      </w:r>
    </w:p>
    <w:p w14:paraId="1EA81D5A" w14:textId="77777777" w:rsidR="006635D0" w:rsidRPr="004D7BCC" w:rsidRDefault="006635D0" w:rsidP="008367C2">
      <w:pPr>
        <w:jc w:val="both"/>
        <w:rPr>
          <w:rFonts w:ascii="Helvetica Neue" w:hAnsi="Helvetica Neue"/>
          <w:sz w:val="22"/>
          <w:szCs w:val="22"/>
        </w:rPr>
      </w:pPr>
    </w:p>
    <w:p w14:paraId="2A40F199" w14:textId="1018B06D" w:rsidR="006635D0" w:rsidRPr="004D7BCC" w:rsidRDefault="006635D0" w:rsidP="008367C2">
      <w:pPr>
        <w:jc w:val="both"/>
        <w:rPr>
          <w:rFonts w:ascii="Helvetica Neue" w:hAnsi="Helvetica Neue"/>
          <w:b/>
          <w:bCs/>
          <w:sz w:val="22"/>
          <w:szCs w:val="22"/>
        </w:rPr>
      </w:pPr>
      <w:r w:rsidRPr="004D7BCC">
        <w:rPr>
          <w:rFonts w:ascii="Helvetica Neue" w:hAnsi="Helvetica Neue"/>
          <w:b/>
          <w:bCs/>
          <w:sz w:val="22"/>
          <w:szCs w:val="22"/>
        </w:rPr>
        <w:t>Chapitre 2 : Surveillance des forêts</w:t>
      </w:r>
    </w:p>
    <w:p w14:paraId="2F9CDDF1" w14:textId="77777777" w:rsidR="006635D0" w:rsidRPr="004D7BCC" w:rsidRDefault="006635D0" w:rsidP="008367C2">
      <w:pPr>
        <w:jc w:val="both"/>
        <w:rPr>
          <w:rFonts w:ascii="Helvetica Neue" w:hAnsi="Helvetica Neue"/>
          <w:sz w:val="22"/>
          <w:szCs w:val="22"/>
        </w:rPr>
      </w:pPr>
    </w:p>
    <w:p w14:paraId="00C7559B" w14:textId="2F26885C"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3 : Système de surveillance des forêts</w:t>
      </w:r>
    </w:p>
    <w:p w14:paraId="537A121A" w14:textId="77777777" w:rsidR="006635D0" w:rsidRPr="004D7BCC" w:rsidRDefault="006635D0" w:rsidP="008367C2">
      <w:pPr>
        <w:jc w:val="both"/>
        <w:rPr>
          <w:rFonts w:ascii="Helvetica Neue" w:hAnsi="Helvetica Neue"/>
          <w:i/>
          <w:iCs/>
          <w:color w:val="4472C4" w:themeColor="accent1"/>
          <w:sz w:val="22"/>
          <w:szCs w:val="22"/>
        </w:rPr>
      </w:pPr>
    </w:p>
    <w:p w14:paraId="075B2828" w14:textId="7597483A" w:rsidR="006635D0" w:rsidRPr="004D7BCC" w:rsidRDefault="008367C2"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met en place, en coopération avec les États membres, et opérer un système de surveillance des forêts qui comprend les éléments suivants :</w:t>
      </w:r>
    </w:p>
    <w:p w14:paraId="620F3390" w14:textId="085E201E" w:rsidR="008367C2" w:rsidRPr="004D7BCC" w:rsidRDefault="00C86A0B" w:rsidP="008367C2">
      <w:pPr>
        <w:pStyle w:val="Paragraphedeliste"/>
        <w:numPr>
          <w:ilvl w:val="0"/>
          <w:numId w:val="7"/>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Un </w:t>
      </w:r>
      <w:r w:rsidRPr="004D7BCC">
        <w:rPr>
          <w:rFonts w:ascii="Helvetica Neue" w:hAnsi="Helvetica Neue"/>
          <w:color w:val="000000" w:themeColor="text1"/>
          <w:sz w:val="22"/>
          <w:szCs w:val="22"/>
        </w:rPr>
        <w:t>système d'identification géographiquement explicite pour la cartographie et la localisation des unités forestières, conformément à l'article 4</w:t>
      </w:r>
      <w:r w:rsidRPr="004D7BCC">
        <w:rPr>
          <w:rFonts w:ascii="Helvetica Neue" w:hAnsi="Helvetica Neue"/>
          <w:color w:val="000000" w:themeColor="text1"/>
          <w:sz w:val="22"/>
          <w:szCs w:val="22"/>
        </w:rPr>
        <w:t> ;</w:t>
      </w:r>
    </w:p>
    <w:p w14:paraId="6B425615" w14:textId="4A22BA1E" w:rsidR="00C86A0B" w:rsidRPr="004D7BCC" w:rsidRDefault="00C86A0B" w:rsidP="008367C2">
      <w:pPr>
        <w:pStyle w:val="Paragraphedeliste"/>
        <w:numPr>
          <w:ilvl w:val="0"/>
          <w:numId w:val="7"/>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U</w:t>
      </w:r>
      <w:r w:rsidRPr="004D7BCC">
        <w:rPr>
          <w:rFonts w:ascii="Helvetica Neue" w:hAnsi="Helvetica Neue"/>
          <w:color w:val="000000" w:themeColor="text1"/>
          <w:sz w:val="22"/>
          <w:szCs w:val="22"/>
        </w:rPr>
        <w:t>n cadre pour la collecte de données forestières, conformément aux articles 5 et 8</w:t>
      </w:r>
      <w:r w:rsidRPr="004D7BCC">
        <w:rPr>
          <w:rFonts w:ascii="Helvetica Neue" w:hAnsi="Helvetica Neue"/>
          <w:color w:val="000000" w:themeColor="text1"/>
          <w:sz w:val="22"/>
          <w:szCs w:val="22"/>
        </w:rPr>
        <w:t> ;</w:t>
      </w:r>
    </w:p>
    <w:p w14:paraId="21B4AAFD" w14:textId="394F04DD" w:rsidR="00C86A0B" w:rsidRPr="004D7BCC" w:rsidRDefault="00C86A0B" w:rsidP="008367C2">
      <w:pPr>
        <w:pStyle w:val="Paragraphedeliste"/>
        <w:numPr>
          <w:ilvl w:val="0"/>
          <w:numId w:val="7"/>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U</w:t>
      </w:r>
      <w:r w:rsidRPr="004D7BCC">
        <w:rPr>
          <w:rFonts w:ascii="Helvetica Neue" w:hAnsi="Helvetica Neue"/>
          <w:color w:val="000000" w:themeColor="text1"/>
          <w:sz w:val="22"/>
          <w:szCs w:val="22"/>
        </w:rPr>
        <w:t>n cadre de partage des données forestières, conformément à l'article 7</w:t>
      </w:r>
      <w:r w:rsidRPr="004D7BCC">
        <w:rPr>
          <w:rFonts w:ascii="Helvetica Neue" w:hAnsi="Helvetica Neue"/>
          <w:color w:val="000000" w:themeColor="text1"/>
          <w:sz w:val="22"/>
          <w:szCs w:val="22"/>
        </w:rPr>
        <w:t xml:space="preserve">. </w:t>
      </w:r>
    </w:p>
    <w:p w14:paraId="3BB97CAE" w14:textId="77777777" w:rsidR="00356479" w:rsidRPr="004D7BCC" w:rsidRDefault="00356479" w:rsidP="00356479">
      <w:pPr>
        <w:jc w:val="both"/>
        <w:rPr>
          <w:rFonts w:ascii="Helvetica Neue" w:hAnsi="Helvetica Neue"/>
          <w:color w:val="000000" w:themeColor="text1"/>
          <w:sz w:val="22"/>
          <w:szCs w:val="22"/>
        </w:rPr>
      </w:pPr>
    </w:p>
    <w:p w14:paraId="25DC4E65" w14:textId="7F1E80AD"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système de surveillance des forêts se compose de bases de données électroniques et de systèmes d'information géographique et permet l'échange et l'intégration des données forestières avec d'autres bases de données électroniques et systèmes d'information géographique.</w:t>
      </w:r>
    </w:p>
    <w:p w14:paraId="130CDAE3" w14:textId="77777777" w:rsidR="00356479" w:rsidRPr="004D7BCC" w:rsidRDefault="00356479" w:rsidP="00356479">
      <w:pPr>
        <w:jc w:val="both"/>
        <w:rPr>
          <w:rFonts w:ascii="Helvetica Neue" w:hAnsi="Helvetica Neue"/>
          <w:color w:val="000000" w:themeColor="text1"/>
          <w:sz w:val="22"/>
          <w:szCs w:val="22"/>
        </w:rPr>
      </w:pPr>
    </w:p>
    <w:p w14:paraId="027C32CE" w14:textId="0C3CE3F3"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système de surveillance des forêts assure la collecte régulière et systématique de</w:t>
      </w:r>
      <w:r w:rsidRPr="004D7BCC">
        <w:rPr>
          <w:rFonts w:ascii="Helvetica Neue" w:hAnsi="Helvetica Neue"/>
          <w:color w:val="000000" w:themeColor="text1"/>
          <w:sz w:val="22"/>
          <w:szCs w:val="22"/>
        </w:rPr>
        <w:t>s :</w:t>
      </w:r>
    </w:p>
    <w:p w14:paraId="6B9CF72E" w14:textId="271BC2AD" w:rsidR="00356479" w:rsidRPr="004D7BCC" w:rsidRDefault="00356479" w:rsidP="00356479">
      <w:pPr>
        <w:pStyle w:val="Paragraphedeliste"/>
        <w:numPr>
          <w:ilvl w:val="0"/>
          <w:numId w:val="8"/>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D</w:t>
      </w:r>
      <w:r w:rsidRPr="004D7BCC">
        <w:rPr>
          <w:rFonts w:ascii="Helvetica Neue" w:hAnsi="Helvetica Neue"/>
          <w:color w:val="000000" w:themeColor="text1"/>
          <w:sz w:val="22"/>
          <w:szCs w:val="22"/>
        </w:rPr>
        <w:t xml:space="preserve">onnées forestières sur la base de l'ortho-imagerie aérienne ou spatiale, par les satellites </w:t>
      </w:r>
      <w:proofErr w:type="spellStart"/>
      <w:r w:rsidRPr="004D7BCC">
        <w:rPr>
          <w:rFonts w:ascii="Helvetica Neue" w:hAnsi="Helvetica Neue"/>
          <w:color w:val="000000" w:themeColor="text1"/>
          <w:sz w:val="22"/>
          <w:szCs w:val="22"/>
        </w:rPr>
        <w:t>Copernicus</w:t>
      </w:r>
      <w:proofErr w:type="spellEnd"/>
      <w:r w:rsidRPr="004D7BCC">
        <w:rPr>
          <w:rFonts w:ascii="Helvetica Neue" w:hAnsi="Helvetica Neue"/>
          <w:color w:val="000000" w:themeColor="text1"/>
          <w:sz w:val="22"/>
          <w:szCs w:val="22"/>
        </w:rPr>
        <w:t xml:space="preserve"> Sentinel ou d'autres systèmes équivalents</w:t>
      </w:r>
    </w:p>
    <w:p w14:paraId="28816A50" w14:textId="427E8EE6" w:rsidR="00356479" w:rsidRPr="004D7BCC" w:rsidRDefault="00356479" w:rsidP="00356479">
      <w:pPr>
        <w:pStyle w:val="Paragraphedeliste"/>
        <w:numPr>
          <w:ilvl w:val="0"/>
          <w:numId w:val="8"/>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D</w:t>
      </w:r>
      <w:r w:rsidRPr="004D7BCC">
        <w:rPr>
          <w:rFonts w:ascii="Helvetica Neue" w:hAnsi="Helvetica Neue"/>
          <w:color w:val="000000" w:themeColor="text1"/>
          <w:sz w:val="22"/>
          <w:szCs w:val="22"/>
        </w:rPr>
        <w:t>onnées in situ grâce à un réseau de sites de surveillance</w:t>
      </w:r>
    </w:p>
    <w:p w14:paraId="76C36644" w14:textId="77777777" w:rsidR="00356479" w:rsidRPr="004D7BCC" w:rsidRDefault="00356479" w:rsidP="00356479">
      <w:pPr>
        <w:jc w:val="both"/>
        <w:rPr>
          <w:rFonts w:ascii="Helvetica Neue" w:hAnsi="Helvetica Neue"/>
          <w:color w:val="000000" w:themeColor="text1"/>
          <w:sz w:val="22"/>
          <w:szCs w:val="22"/>
        </w:rPr>
      </w:pPr>
    </w:p>
    <w:p w14:paraId="352FC535" w14:textId="19DE93D6"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La Commission peut solliciter l’assistance d’organismes spécialisés pour faciliter la mise en place et l’opérationnalisation. </w:t>
      </w:r>
    </w:p>
    <w:p w14:paraId="238EE2B1" w14:textId="77777777" w:rsidR="006635D0" w:rsidRPr="004D7BCC" w:rsidRDefault="006635D0" w:rsidP="008367C2">
      <w:pPr>
        <w:jc w:val="both"/>
        <w:rPr>
          <w:rFonts w:ascii="Helvetica Neue" w:hAnsi="Helvetica Neue"/>
          <w:color w:val="4472C4" w:themeColor="accent1"/>
          <w:sz w:val="22"/>
          <w:szCs w:val="22"/>
        </w:rPr>
      </w:pPr>
    </w:p>
    <w:p w14:paraId="53466D0F" w14:textId="3E8F0E7E"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4 : </w:t>
      </w:r>
      <w:r w:rsidRPr="004D7BCC">
        <w:rPr>
          <w:rFonts w:ascii="Helvetica Neue" w:hAnsi="Helvetica Neue"/>
          <w:i/>
          <w:iCs/>
          <w:color w:val="4472C4" w:themeColor="accent1"/>
          <w:sz w:val="22"/>
          <w:szCs w:val="22"/>
        </w:rPr>
        <w:t>Système d'identification géographiquement explicite des unités forestières</w:t>
      </w:r>
    </w:p>
    <w:p w14:paraId="30F9276C" w14:textId="77777777" w:rsidR="006635D0" w:rsidRPr="004D7BCC" w:rsidRDefault="006635D0" w:rsidP="008367C2">
      <w:pPr>
        <w:jc w:val="both"/>
        <w:rPr>
          <w:rFonts w:ascii="Helvetica Neue" w:hAnsi="Helvetica Neue"/>
          <w:i/>
          <w:iCs/>
          <w:color w:val="4472C4" w:themeColor="accent1"/>
          <w:sz w:val="22"/>
          <w:szCs w:val="22"/>
        </w:rPr>
      </w:pPr>
    </w:p>
    <w:p w14:paraId="3DE4820C" w14:textId="0D3750A9" w:rsidR="006635D0" w:rsidRPr="004D7BCC" w:rsidRDefault="00356479"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met en place le système d'identification géographiquement explicite pour la cartographie et la localisation des unités forestières (le "système d'identification"), qui doit être opérationnel dans les douze mois suivant la date d'entrée en vigueur du présent règlement.</w:t>
      </w:r>
    </w:p>
    <w:p w14:paraId="5C958408" w14:textId="77777777"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Le système d'identification est un système d'information géographique. La Commission établit et met régulièrement à jour le système d'identification sur la base de données d'ortho-imagerie aérienne ou spatiale, avec un standard uniforme garantissant un niveau de précision au moins équivalent à celui de la cartographie à l'échelle </w:t>
      </w:r>
      <w:proofErr w:type="gramStart"/>
      <w:r w:rsidRPr="004D7BCC">
        <w:rPr>
          <w:rFonts w:ascii="Helvetica Neue" w:hAnsi="Helvetica Neue"/>
          <w:color w:val="000000" w:themeColor="text1"/>
          <w:sz w:val="22"/>
          <w:szCs w:val="22"/>
        </w:rPr>
        <w:t>1:</w:t>
      </w:r>
      <w:proofErr w:type="gramEnd"/>
      <w:r w:rsidRPr="004D7BCC">
        <w:rPr>
          <w:rFonts w:ascii="Helvetica Neue" w:hAnsi="Helvetica Neue"/>
          <w:color w:val="000000" w:themeColor="text1"/>
          <w:sz w:val="22"/>
          <w:szCs w:val="22"/>
        </w:rPr>
        <w:t>100 000.</w:t>
      </w:r>
    </w:p>
    <w:p w14:paraId="6C294DBC" w14:textId="77777777" w:rsidR="00356479" w:rsidRPr="004D7BCC" w:rsidRDefault="00356479" w:rsidP="00356479">
      <w:pPr>
        <w:jc w:val="both"/>
        <w:rPr>
          <w:rFonts w:ascii="Helvetica Neue" w:hAnsi="Helvetica Neue"/>
          <w:color w:val="000000" w:themeColor="text1"/>
          <w:sz w:val="22"/>
          <w:szCs w:val="22"/>
        </w:rPr>
      </w:pPr>
    </w:p>
    <w:p w14:paraId="6EF71366" w14:textId="0588A383"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système d'identification doit</w:t>
      </w:r>
      <w:r w:rsidRPr="004D7BCC">
        <w:rPr>
          <w:rFonts w:ascii="Helvetica Neue" w:hAnsi="Helvetica Neue"/>
          <w:color w:val="000000" w:themeColor="text1"/>
          <w:sz w:val="22"/>
          <w:szCs w:val="22"/>
        </w:rPr>
        <w:t xml:space="preserve"> : </w:t>
      </w:r>
    </w:p>
    <w:p w14:paraId="30983E8B" w14:textId="77777777" w:rsidR="00356479" w:rsidRPr="004D7BCC" w:rsidRDefault="00356479" w:rsidP="00356479">
      <w:pPr>
        <w:pStyle w:val="Paragraphedeliste"/>
        <w:numPr>
          <w:ilvl w:val="1"/>
          <w:numId w:val="9"/>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permet</w:t>
      </w:r>
      <w:proofErr w:type="gramEnd"/>
      <w:r w:rsidRPr="004D7BCC">
        <w:rPr>
          <w:rFonts w:ascii="Helvetica Neue" w:hAnsi="Helvetica Neue"/>
          <w:color w:val="000000" w:themeColor="text1"/>
          <w:sz w:val="22"/>
          <w:szCs w:val="22"/>
        </w:rPr>
        <w:t xml:space="preserve"> de cartographier et de localiser avec précision les zones forestières et, sous réserve de l'établissement de méthodologies conformément à l'article 8, paragraphe 3, les autres terres boisées dans l'ensemble de l'Union ;</w:t>
      </w:r>
    </w:p>
    <w:p w14:paraId="12B3796D" w14:textId="77777777" w:rsidR="00356479" w:rsidRPr="004D7BCC" w:rsidRDefault="00356479" w:rsidP="00356479">
      <w:pPr>
        <w:pStyle w:val="Paragraphedeliste"/>
        <w:numPr>
          <w:ilvl w:val="1"/>
          <w:numId w:val="9"/>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identifie</w:t>
      </w:r>
      <w:proofErr w:type="gramEnd"/>
      <w:r w:rsidRPr="004D7BCC">
        <w:rPr>
          <w:rFonts w:ascii="Helvetica Neue" w:hAnsi="Helvetica Neue"/>
          <w:color w:val="000000" w:themeColor="text1"/>
          <w:sz w:val="22"/>
          <w:szCs w:val="22"/>
        </w:rPr>
        <w:t xml:space="preserve"> de manière unique les unités forestières sur la base d'une combinaison des données forestières visées à l'article 5, paragraphe 2, et à l'article 8, paragraphe 1 ;</w:t>
      </w:r>
    </w:p>
    <w:p w14:paraId="062BFA7C" w14:textId="10F7EFB4" w:rsidR="00356479" w:rsidRPr="004D7BCC" w:rsidRDefault="00356479" w:rsidP="00356479">
      <w:pPr>
        <w:pStyle w:val="Paragraphedeliste"/>
        <w:numPr>
          <w:ilvl w:val="1"/>
          <w:numId w:val="9"/>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faciliter</w:t>
      </w:r>
      <w:proofErr w:type="gramEnd"/>
      <w:r w:rsidRPr="004D7BCC">
        <w:rPr>
          <w:rFonts w:ascii="Helvetica Neue" w:hAnsi="Helvetica Neue"/>
          <w:color w:val="000000" w:themeColor="text1"/>
          <w:sz w:val="22"/>
          <w:szCs w:val="22"/>
        </w:rPr>
        <w:t xml:space="preserve"> la détection et la localisation des changements entre les terres contenant des forêts et celles qui n'en contiennent pas.</w:t>
      </w:r>
    </w:p>
    <w:p w14:paraId="64F36745" w14:textId="77777777" w:rsidR="006635D0" w:rsidRPr="004D7BCC" w:rsidRDefault="006635D0" w:rsidP="008367C2">
      <w:pPr>
        <w:jc w:val="both"/>
        <w:rPr>
          <w:rFonts w:ascii="Helvetica Neue" w:hAnsi="Helvetica Neue"/>
          <w:color w:val="4472C4" w:themeColor="accent1"/>
          <w:sz w:val="22"/>
          <w:szCs w:val="22"/>
        </w:rPr>
      </w:pPr>
    </w:p>
    <w:p w14:paraId="5A5FD6D5" w14:textId="063D6A8F"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5 : </w:t>
      </w:r>
      <w:r w:rsidRPr="004D7BCC">
        <w:rPr>
          <w:rFonts w:ascii="Helvetica Neue" w:hAnsi="Helvetica Neue"/>
          <w:i/>
          <w:iCs/>
          <w:color w:val="4472C4" w:themeColor="accent1"/>
          <w:sz w:val="22"/>
          <w:szCs w:val="22"/>
        </w:rPr>
        <w:t>Cadre de collecte des données forestières</w:t>
      </w:r>
    </w:p>
    <w:p w14:paraId="33DA30D6" w14:textId="77777777" w:rsidR="006635D0" w:rsidRPr="004D7BCC" w:rsidRDefault="006635D0" w:rsidP="008367C2">
      <w:pPr>
        <w:jc w:val="both"/>
        <w:rPr>
          <w:rFonts w:ascii="Helvetica Neue" w:hAnsi="Helvetica Neue"/>
          <w:i/>
          <w:iCs/>
          <w:color w:val="4472C4" w:themeColor="accent1"/>
          <w:sz w:val="22"/>
          <w:szCs w:val="22"/>
        </w:rPr>
      </w:pPr>
    </w:p>
    <w:p w14:paraId="607EE090" w14:textId="77777777"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cadre de collecte des données forestières est opérationnel au plus tard dans les douze mois suivant la date d'entrée en vigueur du présent règlement.</w:t>
      </w:r>
    </w:p>
    <w:p w14:paraId="3E4A7501" w14:textId="7E79EE84" w:rsidR="006635D0" w:rsidRPr="004D7BCC" w:rsidRDefault="006635D0" w:rsidP="008367C2">
      <w:pPr>
        <w:jc w:val="both"/>
        <w:rPr>
          <w:rFonts w:ascii="Helvetica Neue" w:hAnsi="Helvetica Neue"/>
          <w:color w:val="000000" w:themeColor="text1"/>
          <w:sz w:val="22"/>
          <w:szCs w:val="22"/>
        </w:rPr>
      </w:pPr>
    </w:p>
    <w:p w14:paraId="23EAADCD" w14:textId="0A8DBE10" w:rsidR="00356479" w:rsidRPr="004D7BCC" w:rsidRDefault="00356479" w:rsidP="00356479">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collecte les données forestières suivantes conformément aux spécifications techniques énoncées à l'annexe I, assurant ainsi la normalisation des données :</w:t>
      </w:r>
    </w:p>
    <w:p w14:paraId="39F75719" w14:textId="764274CC"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superficie forestière </w:t>
      </w:r>
    </w:p>
    <w:p w14:paraId="64618ED1" w14:textId="14A76E62"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densité</w:t>
      </w:r>
      <w:proofErr w:type="gramEnd"/>
      <w:r w:rsidRPr="004D7BCC">
        <w:rPr>
          <w:rFonts w:ascii="Helvetica Neue" w:hAnsi="Helvetica Neue"/>
          <w:color w:val="000000" w:themeColor="text1"/>
          <w:sz w:val="22"/>
          <w:szCs w:val="22"/>
        </w:rPr>
        <w:t xml:space="preserve"> du couvert forestier </w:t>
      </w:r>
    </w:p>
    <w:p w14:paraId="4C65C9E4" w14:textId="6E87B616"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type</w:t>
      </w:r>
      <w:proofErr w:type="gramEnd"/>
      <w:r w:rsidRPr="004D7BCC">
        <w:rPr>
          <w:rFonts w:ascii="Helvetica Neue" w:hAnsi="Helvetica Neue"/>
          <w:color w:val="000000" w:themeColor="text1"/>
          <w:sz w:val="22"/>
          <w:szCs w:val="22"/>
        </w:rPr>
        <w:t xml:space="preserve"> de forêt </w:t>
      </w:r>
    </w:p>
    <w:p w14:paraId="3030239B" w14:textId="77777777"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connectivité</w:t>
      </w:r>
      <w:proofErr w:type="gramEnd"/>
      <w:r w:rsidRPr="004D7BCC">
        <w:rPr>
          <w:rFonts w:ascii="Helvetica Neue" w:hAnsi="Helvetica Neue"/>
          <w:color w:val="000000" w:themeColor="text1"/>
          <w:sz w:val="22"/>
          <w:szCs w:val="22"/>
        </w:rPr>
        <w:t xml:space="preserve"> des forêts</w:t>
      </w:r>
    </w:p>
    <w:p w14:paraId="0B01BE54" w14:textId="67614D1F"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défoliation</w:t>
      </w:r>
      <w:proofErr w:type="gramEnd"/>
      <w:r w:rsidRPr="004D7BCC">
        <w:rPr>
          <w:rFonts w:ascii="Helvetica Neue" w:hAnsi="Helvetica Neue"/>
          <w:color w:val="000000" w:themeColor="text1"/>
          <w:sz w:val="22"/>
          <w:szCs w:val="22"/>
        </w:rPr>
        <w:t xml:space="preserve"> </w:t>
      </w:r>
    </w:p>
    <w:p w14:paraId="385979DE" w14:textId="77777777"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les</w:t>
      </w:r>
      <w:proofErr w:type="gramEnd"/>
      <w:r w:rsidRPr="004D7BCC">
        <w:rPr>
          <w:rFonts w:ascii="Helvetica Neue" w:hAnsi="Helvetica Neue"/>
          <w:color w:val="000000" w:themeColor="text1"/>
          <w:sz w:val="22"/>
          <w:szCs w:val="22"/>
        </w:rPr>
        <w:t xml:space="preserve"> incendies de forêt</w:t>
      </w:r>
    </w:p>
    <w:p w14:paraId="69EF1938" w14:textId="77777777"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l'évaluation</w:t>
      </w:r>
      <w:proofErr w:type="gramEnd"/>
      <w:r w:rsidRPr="004D7BCC">
        <w:rPr>
          <w:rFonts w:ascii="Helvetica Neue" w:hAnsi="Helvetica Neue"/>
          <w:color w:val="000000" w:themeColor="text1"/>
          <w:sz w:val="22"/>
          <w:szCs w:val="22"/>
        </w:rPr>
        <w:t xml:space="preserve"> des risques d'incendie de forêt</w:t>
      </w:r>
    </w:p>
    <w:p w14:paraId="3995E543" w14:textId="4BD29D73" w:rsidR="00356479" w:rsidRPr="004D7BCC" w:rsidRDefault="00356479" w:rsidP="00356479">
      <w:pPr>
        <w:pStyle w:val="Paragraphedeliste"/>
        <w:numPr>
          <w:ilvl w:val="0"/>
          <w:numId w:val="12"/>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perturbations</w:t>
      </w:r>
      <w:proofErr w:type="gramEnd"/>
      <w:r w:rsidRPr="004D7BCC">
        <w:rPr>
          <w:rFonts w:ascii="Helvetica Neue" w:hAnsi="Helvetica Neue"/>
          <w:color w:val="000000" w:themeColor="text1"/>
          <w:sz w:val="22"/>
          <w:szCs w:val="22"/>
        </w:rPr>
        <w:t xml:space="preserve"> du couvert végétal.</w:t>
      </w:r>
    </w:p>
    <w:p w14:paraId="5DFEB116" w14:textId="77777777" w:rsidR="001A3A1D" w:rsidRPr="004D7BCC" w:rsidRDefault="001A3A1D" w:rsidP="001A3A1D">
      <w:pPr>
        <w:jc w:val="both"/>
        <w:rPr>
          <w:rFonts w:ascii="Helvetica Neue" w:hAnsi="Helvetica Neue"/>
          <w:color w:val="000000" w:themeColor="text1"/>
          <w:sz w:val="22"/>
          <w:szCs w:val="22"/>
        </w:rPr>
      </w:pPr>
    </w:p>
    <w:p w14:paraId="5E48E8AC" w14:textId="77777777" w:rsidR="001A3A1D" w:rsidRPr="004D7BCC" w:rsidRDefault="001A3A1D" w:rsidP="001A3A1D">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collectent les données forestières suivantes, selon la fréquence spécifiée à l'annexe II :</w:t>
      </w:r>
    </w:p>
    <w:p w14:paraId="24F4EE36" w14:textId="06D20FEE"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forêts</w:t>
      </w:r>
      <w:proofErr w:type="gramEnd"/>
      <w:r w:rsidRPr="004D7BCC">
        <w:rPr>
          <w:rFonts w:ascii="Helvetica Neue" w:hAnsi="Helvetica Neue"/>
          <w:color w:val="000000" w:themeColor="text1"/>
          <w:sz w:val="22"/>
          <w:szCs w:val="22"/>
        </w:rPr>
        <w:t xml:space="preserve"> disponibles pour l'approvisionnement en bois et forêts non disponibles pour l'approvisionnement en bois </w:t>
      </w:r>
    </w:p>
    <w:p w14:paraId="2E12FB49" w14:textId="70BC2A4A"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volume</w:t>
      </w:r>
      <w:proofErr w:type="gramEnd"/>
      <w:r w:rsidRPr="004D7BCC">
        <w:rPr>
          <w:rFonts w:ascii="Helvetica Neue" w:hAnsi="Helvetica Neue"/>
          <w:color w:val="000000" w:themeColor="text1"/>
          <w:sz w:val="22"/>
          <w:szCs w:val="22"/>
        </w:rPr>
        <w:t xml:space="preserve"> du matériel sur pied</w:t>
      </w:r>
    </w:p>
    <w:p w14:paraId="293EE01C" w14:textId="59979DF8"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l'accroissement</w:t>
      </w:r>
      <w:proofErr w:type="gramEnd"/>
      <w:r w:rsidRPr="004D7BCC">
        <w:rPr>
          <w:rFonts w:ascii="Helvetica Neue" w:hAnsi="Helvetica Neue"/>
          <w:color w:val="000000" w:themeColor="text1"/>
          <w:sz w:val="22"/>
          <w:szCs w:val="22"/>
        </w:rPr>
        <w:t xml:space="preserve"> annuel net</w:t>
      </w:r>
    </w:p>
    <w:p w14:paraId="6C285BAD" w14:textId="04581419"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structure</w:t>
      </w:r>
      <w:proofErr w:type="gramEnd"/>
      <w:r w:rsidRPr="004D7BCC">
        <w:rPr>
          <w:rFonts w:ascii="Helvetica Neue" w:hAnsi="Helvetica Neue"/>
          <w:color w:val="000000" w:themeColor="text1"/>
          <w:sz w:val="22"/>
          <w:szCs w:val="22"/>
        </w:rPr>
        <w:t xml:space="preserve"> du peuplement</w:t>
      </w:r>
    </w:p>
    <w:p w14:paraId="6351DCF4" w14:textId="43B9E192"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composition et la richesse en essences d'arbres </w:t>
      </w:r>
    </w:p>
    <w:p w14:paraId="56966610" w14:textId="21E68A27"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le</w:t>
      </w:r>
      <w:proofErr w:type="gramEnd"/>
      <w:r w:rsidRPr="004D7BCC">
        <w:rPr>
          <w:rFonts w:ascii="Helvetica Neue" w:hAnsi="Helvetica Neue"/>
          <w:color w:val="000000" w:themeColor="text1"/>
          <w:sz w:val="22"/>
          <w:szCs w:val="22"/>
        </w:rPr>
        <w:t xml:space="preserve"> type de forêt européenne</w:t>
      </w:r>
    </w:p>
    <w:p w14:paraId="62D66374" w14:textId="4D0F7C26"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prélèvements</w:t>
      </w:r>
      <w:proofErr w:type="gramEnd"/>
      <w:r w:rsidRPr="004D7BCC">
        <w:rPr>
          <w:rFonts w:ascii="Helvetica Neue" w:hAnsi="Helvetica Neue"/>
          <w:color w:val="000000" w:themeColor="text1"/>
          <w:sz w:val="22"/>
          <w:szCs w:val="22"/>
        </w:rPr>
        <w:t xml:space="preserve"> </w:t>
      </w:r>
    </w:p>
    <w:p w14:paraId="340F2E2E" w14:textId="661A9D09"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bois</w:t>
      </w:r>
      <w:proofErr w:type="gramEnd"/>
      <w:r w:rsidRPr="004D7BCC">
        <w:rPr>
          <w:rFonts w:ascii="Helvetica Neue" w:hAnsi="Helvetica Neue"/>
          <w:color w:val="000000" w:themeColor="text1"/>
          <w:sz w:val="22"/>
          <w:szCs w:val="22"/>
        </w:rPr>
        <w:t xml:space="preserve"> mort </w:t>
      </w:r>
    </w:p>
    <w:p w14:paraId="456B62DE" w14:textId="26075D4E"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localisation</w:t>
      </w:r>
      <w:proofErr w:type="gramEnd"/>
      <w:r w:rsidRPr="004D7BCC">
        <w:rPr>
          <w:rFonts w:ascii="Helvetica Neue" w:hAnsi="Helvetica Neue"/>
          <w:color w:val="000000" w:themeColor="text1"/>
          <w:sz w:val="22"/>
          <w:szCs w:val="22"/>
        </w:rPr>
        <w:t xml:space="preserve"> des habitats forestiers dans les sites Natura 2000 </w:t>
      </w:r>
    </w:p>
    <w:p w14:paraId="43BCB56A" w14:textId="0393368E"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abondance</w:t>
      </w:r>
      <w:proofErr w:type="gramEnd"/>
      <w:r w:rsidRPr="004D7BCC">
        <w:rPr>
          <w:rFonts w:ascii="Helvetica Neue" w:hAnsi="Helvetica Neue"/>
          <w:color w:val="000000" w:themeColor="text1"/>
          <w:sz w:val="22"/>
          <w:szCs w:val="22"/>
        </w:rPr>
        <w:t xml:space="preserve"> des oiseaux forestiers communs </w:t>
      </w:r>
    </w:p>
    <w:p w14:paraId="39888A63" w14:textId="41A0A86C"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localisation</w:t>
      </w:r>
      <w:proofErr w:type="gramEnd"/>
      <w:r w:rsidRPr="004D7BCC">
        <w:rPr>
          <w:rFonts w:ascii="Helvetica Neue" w:hAnsi="Helvetica Neue"/>
          <w:color w:val="000000" w:themeColor="text1"/>
          <w:sz w:val="22"/>
          <w:szCs w:val="22"/>
        </w:rPr>
        <w:t xml:space="preserve"> des forêts primaires et anciennes </w:t>
      </w:r>
    </w:p>
    <w:p w14:paraId="4631BA80" w14:textId="4B6A11F9"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zones</w:t>
      </w:r>
      <w:proofErr w:type="gramEnd"/>
      <w:r w:rsidRPr="004D7BCC">
        <w:rPr>
          <w:rFonts w:ascii="Helvetica Neue" w:hAnsi="Helvetica Neue"/>
          <w:color w:val="000000" w:themeColor="text1"/>
          <w:sz w:val="22"/>
          <w:szCs w:val="22"/>
        </w:rPr>
        <w:t xml:space="preserve"> forestières protégées </w:t>
      </w:r>
    </w:p>
    <w:p w14:paraId="7CCCA5BA" w14:textId="3F405606"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la</w:t>
      </w:r>
      <w:proofErr w:type="gramEnd"/>
      <w:r w:rsidRPr="004D7BCC">
        <w:rPr>
          <w:rFonts w:ascii="Helvetica Neue" w:hAnsi="Helvetica Neue"/>
          <w:color w:val="000000" w:themeColor="text1"/>
          <w:sz w:val="22"/>
          <w:szCs w:val="22"/>
        </w:rPr>
        <w:t xml:space="preserve"> production et le commerce de produits du bois </w:t>
      </w:r>
    </w:p>
    <w:p w14:paraId="7F341C2C" w14:textId="0DBE9F04" w:rsidR="001A3A1D" w:rsidRPr="004D7BCC" w:rsidRDefault="001A3A1D" w:rsidP="001A3A1D">
      <w:pPr>
        <w:pStyle w:val="Paragraphedeliste"/>
        <w:numPr>
          <w:ilvl w:val="1"/>
          <w:numId w:val="14"/>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biomasse</w:t>
      </w:r>
      <w:proofErr w:type="gramEnd"/>
      <w:r w:rsidRPr="004D7BCC">
        <w:rPr>
          <w:rFonts w:ascii="Helvetica Neue" w:hAnsi="Helvetica Neue"/>
          <w:color w:val="000000" w:themeColor="text1"/>
          <w:sz w:val="22"/>
          <w:szCs w:val="22"/>
        </w:rPr>
        <w:t xml:space="preserve"> forestière pour la bioénergie.</w:t>
      </w:r>
    </w:p>
    <w:p w14:paraId="4AD32B67" w14:textId="75C64C70" w:rsidR="001A3A1D" w:rsidRPr="004D7BCC" w:rsidRDefault="001A3A1D" w:rsidP="001A3A1D">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Les données sont collectées par les États membres via les images satellites et les données in situ sur la base des relevés au sol. </w:t>
      </w:r>
    </w:p>
    <w:p w14:paraId="07206B06" w14:textId="77777777" w:rsidR="006635D0" w:rsidRPr="004D7BCC" w:rsidRDefault="006635D0" w:rsidP="008367C2">
      <w:pPr>
        <w:jc w:val="both"/>
        <w:rPr>
          <w:rFonts w:ascii="Helvetica Neue" w:hAnsi="Helvetica Neue"/>
          <w:color w:val="4472C4" w:themeColor="accent1"/>
          <w:sz w:val="22"/>
          <w:szCs w:val="22"/>
        </w:rPr>
      </w:pPr>
    </w:p>
    <w:p w14:paraId="5AB56056" w14:textId="7F5E9606"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6 : Exclusion</w:t>
      </w:r>
    </w:p>
    <w:p w14:paraId="5311163E" w14:textId="77777777" w:rsidR="006635D0" w:rsidRPr="004D7BCC" w:rsidRDefault="006635D0" w:rsidP="008367C2">
      <w:pPr>
        <w:jc w:val="both"/>
        <w:rPr>
          <w:rFonts w:ascii="Helvetica Neue" w:hAnsi="Helvetica Neue"/>
          <w:color w:val="4472C4" w:themeColor="accent1"/>
          <w:sz w:val="22"/>
          <w:szCs w:val="22"/>
        </w:rPr>
      </w:pPr>
    </w:p>
    <w:p w14:paraId="7B4B90C7" w14:textId="711A6E2F" w:rsidR="006635D0" w:rsidRPr="004D7BCC" w:rsidRDefault="001A3A1D"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peuvent de pas utiliser le système fourni par la Commission mais doivent respecter les obligations quant à la collecte des données.</w:t>
      </w:r>
    </w:p>
    <w:p w14:paraId="58C99E8F" w14:textId="77777777" w:rsidR="006635D0" w:rsidRPr="004D7BCC" w:rsidRDefault="006635D0" w:rsidP="008367C2">
      <w:pPr>
        <w:jc w:val="both"/>
        <w:rPr>
          <w:rFonts w:ascii="Helvetica Neue" w:hAnsi="Helvetica Neue"/>
          <w:i/>
          <w:iCs/>
          <w:color w:val="4472C4" w:themeColor="accent1"/>
          <w:sz w:val="22"/>
          <w:szCs w:val="22"/>
        </w:rPr>
      </w:pPr>
    </w:p>
    <w:p w14:paraId="3F6A940E" w14:textId="258342CB"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7 : </w:t>
      </w:r>
      <w:r w:rsidRPr="004D7BCC">
        <w:rPr>
          <w:rFonts w:ascii="Helvetica Neue" w:hAnsi="Helvetica Neue"/>
          <w:i/>
          <w:iCs/>
          <w:color w:val="4472C4" w:themeColor="accent1"/>
          <w:sz w:val="22"/>
          <w:szCs w:val="22"/>
        </w:rPr>
        <w:t>Cadre de partage des données forestières</w:t>
      </w:r>
    </w:p>
    <w:p w14:paraId="02AB2710" w14:textId="77777777" w:rsidR="006635D0" w:rsidRPr="004D7BCC" w:rsidRDefault="006635D0" w:rsidP="008367C2">
      <w:pPr>
        <w:jc w:val="both"/>
        <w:rPr>
          <w:rFonts w:ascii="Helvetica Neue" w:hAnsi="Helvetica Neue"/>
          <w:i/>
          <w:iCs/>
          <w:color w:val="4472C4" w:themeColor="accent1"/>
          <w:sz w:val="22"/>
          <w:szCs w:val="22"/>
        </w:rPr>
      </w:pPr>
    </w:p>
    <w:p w14:paraId="3A17C0D3" w14:textId="19A823D5" w:rsidR="006635D0" w:rsidRPr="004D7BCC" w:rsidRDefault="001A3A1D"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Au plus tard 30 mois après la date d’entrée en vigueur du règlement, </w:t>
      </w:r>
      <w:r w:rsidRPr="004D7BCC">
        <w:rPr>
          <w:rFonts w:ascii="Helvetica Neue" w:hAnsi="Helvetica Neue"/>
          <w:color w:val="000000" w:themeColor="text1"/>
          <w:sz w:val="22"/>
          <w:szCs w:val="22"/>
        </w:rPr>
        <w:t>les États membres partagent les dernières données forestières disponibles en les rendant accessibles au public.</w:t>
      </w:r>
      <w:r w:rsidRPr="004D7BCC">
        <w:rPr>
          <w:rFonts w:ascii="Helvetica Neue" w:hAnsi="Helvetica Neue"/>
          <w:color w:val="000000" w:themeColor="text1"/>
          <w:sz w:val="22"/>
          <w:szCs w:val="22"/>
        </w:rPr>
        <w:t xml:space="preserve"> </w:t>
      </w:r>
      <w:r w:rsidRPr="004D7BCC">
        <w:rPr>
          <w:rFonts w:ascii="Helvetica Neue" w:hAnsi="Helvetica Neue"/>
          <w:color w:val="000000" w:themeColor="text1"/>
          <w:sz w:val="22"/>
          <w:szCs w:val="22"/>
        </w:rPr>
        <w:t>Les États membres assurent l'harmonisation des données en partageant les données forestières agrégées</w:t>
      </w:r>
      <w:r w:rsidRPr="004D7BCC">
        <w:rPr>
          <w:rFonts w:ascii="Helvetica Neue" w:hAnsi="Helvetica Neue"/>
          <w:color w:val="000000" w:themeColor="text1"/>
          <w:sz w:val="22"/>
          <w:szCs w:val="22"/>
        </w:rPr>
        <w:t xml:space="preserve">. </w:t>
      </w:r>
    </w:p>
    <w:p w14:paraId="0021482C" w14:textId="77777777" w:rsidR="001A3A1D" w:rsidRPr="004D7BCC" w:rsidRDefault="001A3A1D" w:rsidP="008367C2">
      <w:pPr>
        <w:jc w:val="both"/>
        <w:rPr>
          <w:rFonts w:ascii="Helvetica Neue" w:hAnsi="Helvetica Neue"/>
          <w:color w:val="000000" w:themeColor="text1"/>
          <w:sz w:val="22"/>
          <w:szCs w:val="22"/>
        </w:rPr>
      </w:pPr>
    </w:p>
    <w:p w14:paraId="30B1FCE1" w14:textId="17265530" w:rsidR="001A3A1D" w:rsidRPr="004D7BCC" w:rsidRDefault="001A3A1D"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et la Commission rendent publiquement accessibles les données</w:t>
      </w:r>
      <w:r w:rsidRPr="004D7BCC">
        <w:rPr>
          <w:rFonts w:ascii="Helvetica Neue" w:hAnsi="Helvetica Neue"/>
          <w:color w:val="000000" w:themeColor="text1"/>
          <w:sz w:val="22"/>
          <w:szCs w:val="22"/>
        </w:rPr>
        <w:t xml:space="preserve"> </w:t>
      </w:r>
      <w:r w:rsidRPr="004D7BCC">
        <w:rPr>
          <w:rFonts w:ascii="Helvetica Neue" w:hAnsi="Helvetica Neue"/>
          <w:color w:val="000000" w:themeColor="text1"/>
          <w:sz w:val="22"/>
          <w:szCs w:val="22"/>
        </w:rPr>
        <w:t>dans un format ouvert, lisible par machine, qui garantit l'interopérabilité et la réutilisabilité</w:t>
      </w:r>
      <w:r w:rsidRPr="004D7BCC">
        <w:rPr>
          <w:rFonts w:ascii="Helvetica Neue" w:hAnsi="Helvetica Neue"/>
          <w:color w:val="000000" w:themeColor="text1"/>
          <w:sz w:val="22"/>
          <w:szCs w:val="22"/>
        </w:rPr>
        <w:t xml:space="preserve">. </w:t>
      </w:r>
    </w:p>
    <w:p w14:paraId="4DAAAAAF" w14:textId="77777777" w:rsidR="001A3A1D" w:rsidRPr="004D7BCC" w:rsidRDefault="001A3A1D" w:rsidP="008367C2">
      <w:pPr>
        <w:jc w:val="both"/>
        <w:rPr>
          <w:rFonts w:ascii="Helvetica Neue" w:hAnsi="Helvetica Neue"/>
          <w:color w:val="000000" w:themeColor="text1"/>
          <w:sz w:val="22"/>
          <w:szCs w:val="22"/>
        </w:rPr>
      </w:pPr>
    </w:p>
    <w:p w14:paraId="7B24CCC2" w14:textId="5529459A" w:rsidR="001A3A1D" w:rsidRPr="004D7BCC" w:rsidRDefault="001A3A1D"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lastRenderedPageBreak/>
        <w:t>Les États membres peuvent utiliser les données partagées par l'intermédiaire du cadre de partage des données forestières pour l'élaboration des plans forestiers intégrés volontaires à long terme</w:t>
      </w:r>
      <w:r w:rsidRPr="004D7BCC">
        <w:rPr>
          <w:rFonts w:ascii="Helvetica Neue" w:hAnsi="Helvetica Neue"/>
          <w:color w:val="000000" w:themeColor="text1"/>
          <w:sz w:val="22"/>
          <w:szCs w:val="22"/>
        </w:rPr>
        <w:t xml:space="preserve">. </w:t>
      </w:r>
    </w:p>
    <w:p w14:paraId="7A4082A6" w14:textId="77777777" w:rsidR="006635D0" w:rsidRPr="004D7BCC" w:rsidRDefault="006635D0" w:rsidP="008367C2">
      <w:pPr>
        <w:jc w:val="both"/>
        <w:rPr>
          <w:rFonts w:ascii="Helvetica Neue" w:hAnsi="Helvetica Neue"/>
          <w:i/>
          <w:iCs/>
          <w:color w:val="4472C4" w:themeColor="accent1"/>
          <w:sz w:val="22"/>
          <w:szCs w:val="22"/>
        </w:rPr>
      </w:pPr>
    </w:p>
    <w:p w14:paraId="7FD3CFCF" w14:textId="396596A2"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8 : </w:t>
      </w:r>
      <w:r w:rsidRPr="004D7BCC">
        <w:rPr>
          <w:rFonts w:ascii="Helvetica Neue" w:hAnsi="Helvetica Neue"/>
          <w:i/>
          <w:iCs/>
          <w:color w:val="4472C4" w:themeColor="accent1"/>
          <w:sz w:val="22"/>
          <w:szCs w:val="22"/>
        </w:rPr>
        <w:t>Données forestières supplémentaires</w:t>
      </w:r>
    </w:p>
    <w:p w14:paraId="2FF113ED" w14:textId="77777777" w:rsidR="006635D0" w:rsidRPr="004D7BCC" w:rsidRDefault="006635D0" w:rsidP="008367C2">
      <w:pPr>
        <w:jc w:val="both"/>
        <w:rPr>
          <w:rFonts w:ascii="Helvetica Neue" w:hAnsi="Helvetica Neue"/>
          <w:i/>
          <w:iCs/>
          <w:color w:val="4472C4" w:themeColor="accent1"/>
          <w:sz w:val="22"/>
          <w:szCs w:val="22"/>
        </w:rPr>
      </w:pPr>
    </w:p>
    <w:p w14:paraId="7369F92E" w14:textId="74B51776" w:rsidR="006635D0" w:rsidRPr="004D7BCC" w:rsidRDefault="001A3A1D"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La Commission et les États membres doivent collecter les données listées en Annexe III </w:t>
      </w:r>
      <w:r w:rsidR="00D86CFF" w:rsidRPr="004D7BCC">
        <w:rPr>
          <w:rFonts w:ascii="Helvetica Neue" w:hAnsi="Helvetica Neue"/>
          <w:color w:val="000000" w:themeColor="text1"/>
          <w:sz w:val="22"/>
          <w:szCs w:val="22"/>
        </w:rPr>
        <w:t>par une approche progressive</w:t>
      </w:r>
      <w:r w:rsidR="00D86CFF" w:rsidRPr="004D7BCC">
        <w:rPr>
          <w:rFonts w:ascii="Helvetica Neue" w:hAnsi="Helvetica Neue"/>
          <w:color w:val="000000" w:themeColor="text1"/>
          <w:sz w:val="22"/>
          <w:szCs w:val="22"/>
        </w:rPr>
        <w:t xml:space="preserve">. </w:t>
      </w:r>
      <w:r w:rsidR="00D86CFF" w:rsidRPr="004D7BCC">
        <w:rPr>
          <w:rFonts w:ascii="Helvetica Neue" w:hAnsi="Helvetica Neue"/>
          <w:color w:val="000000" w:themeColor="text1"/>
          <w:sz w:val="22"/>
          <w:szCs w:val="22"/>
        </w:rPr>
        <w:t xml:space="preserve">Les données sont collectées par les États membres via les images satellites et les données in situ sur la base des relevés au sol. </w:t>
      </w:r>
    </w:p>
    <w:p w14:paraId="0ECB2F88" w14:textId="77777777" w:rsidR="00D86CFF" w:rsidRPr="004D7BCC" w:rsidRDefault="00D86CFF" w:rsidP="008367C2">
      <w:pPr>
        <w:jc w:val="both"/>
        <w:rPr>
          <w:rFonts w:ascii="Helvetica Neue" w:hAnsi="Helvetica Neue"/>
          <w:color w:val="000000" w:themeColor="text1"/>
          <w:sz w:val="22"/>
          <w:szCs w:val="22"/>
        </w:rPr>
      </w:pPr>
    </w:p>
    <w:p w14:paraId="0D749126" w14:textId="7DA15FEF" w:rsidR="00D86CFF"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et les États membres coopèrent pour mettre au point des systèmes compatibles de stockage et d'échange de données pour la collecte et le partage des données forestières dans le cadre du système de surveillance des forêts, avec l'aide des organismes spécialisés.</w:t>
      </w:r>
    </w:p>
    <w:p w14:paraId="047F77E3" w14:textId="77777777" w:rsidR="006635D0" w:rsidRPr="004D7BCC" w:rsidRDefault="006635D0" w:rsidP="008367C2">
      <w:pPr>
        <w:jc w:val="both"/>
        <w:rPr>
          <w:rFonts w:ascii="Helvetica Neue" w:hAnsi="Helvetica Neue"/>
          <w:i/>
          <w:iCs/>
          <w:color w:val="4472C4" w:themeColor="accent1"/>
          <w:sz w:val="22"/>
          <w:szCs w:val="22"/>
        </w:rPr>
      </w:pPr>
    </w:p>
    <w:p w14:paraId="761F23D6" w14:textId="3F8FAF2D"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9 : </w:t>
      </w:r>
      <w:r w:rsidRPr="004D7BCC">
        <w:rPr>
          <w:rFonts w:ascii="Helvetica Neue" w:hAnsi="Helvetica Neue"/>
          <w:i/>
          <w:iCs/>
          <w:color w:val="4472C4" w:themeColor="accent1"/>
          <w:sz w:val="22"/>
          <w:szCs w:val="22"/>
        </w:rPr>
        <w:t>Systèmes de stockage et d'échange de données compatibles</w:t>
      </w:r>
    </w:p>
    <w:p w14:paraId="54BECAAE" w14:textId="77777777" w:rsidR="006635D0" w:rsidRPr="004D7BCC" w:rsidRDefault="006635D0" w:rsidP="008367C2">
      <w:pPr>
        <w:jc w:val="both"/>
        <w:rPr>
          <w:rFonts w:ascii="Helvetica Neue" w:hAnsi="Helvetica Neue"/>
          <w:color w:val="4472C4" w:themeColor="accent1"/>
          <w:sz w:val="22"/>
          <w:szCs w:val="22"/>
        </w:rPr>
      </w:pPr>
    </w:p>
    <w:p w14:paraId="6195B298" w14:textId="33603E89" w:rsidR="00D86CFF"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est habilitée à adopter des actes d'exécution établissant des règles relatives aux procédures et aux formats à utiliser pour assurer la compatibilité des systèmes de stockage et d'échange de données et à établir des garanties de préservation de la confidentialité pour l'inclusion, dans ces systèmes de stockage et d'échange de données, d'informations relatives à la localisation géographiquement explicite des sites de surveillance.</w:t>
      </w:r>
    </w:p>
    <w:p w14:paraId="33B491C0" w14:textId="77777777" w:rsidR="006635D0" w:rsidRPr="004D7BCC" w:rsidRDefault="006635D0" w:rsidP="008367C2">
      <w:pPr>
        <w:jc w:val="both"/>
        <w:rPr>
          <w:rFonts w:ascii="Helvetica Neue" w:hAnsi="Helvetica Neue"/>
          <w:i/>
          <w:iCs/>
          <w:color w:val="4472C4" w:themeColor="accent1"/>
          <w:sz w:val="22"/>
          <w:szCs w:val="22"/>
        </w:rPr>
      </w:pPr>
    </w:p>
    <w:p w14:paraId="6638C872" w14:textId="6453CFD9" w:rsidR="0077405C" w:rsidRPr="004D7BCC" w:rsidRDefault="0077405C"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10 : </w:t>
      </w:r>
      <w:r w:rsidRPr="004D7BCC">
        <w:rPr>
          <w:rFonts w:ascii="Helvetica Neue" w:hAnsi="Helvetica Neue"/>
          <w:i/>
          <w:iCs/>
          <w:color w:val="4472C4" w:themeColor="accent1"/>
          <w:sz w:val="22"/>
          <w:szCs w:val="22"/>
        </w:rPr>
        <w:t>Contrôle de la qualité des données</w:t>
      </w:r>
    </w:p>
    <w:p w14:paraId="3B56498F" w14:textId="77777777" w:rsidR="006635D0" w:rsidRPr="004D7BCC" w:rsidRDefault="006635D0" w:rsidP="008367C2">
      <w:pPr>
        <w:jc w:val="both"/>
        <w:rPr>
          <w:rFonts w:ascii="Helvetica Neue" w:hAnsi="Helvetica Neue"/>
          <w:i/>
          <w:iCs/>
          <w:color w:val="4472C4" w:themeColor="accent1"/>
          <w:sz w:val="22"/>
          <w:szCs w:val="22"/>
        </w:rPr>
      </w:pPr>
    </w:p>
    <w:p w14:paraId="1D0C79C6" w14:textId="77777777" w:rsidR="00D86CFF" w:rsidRPr="004D7BCC" w:rsidRDefault="00D86CFF" w:rsidP="00D86CFF">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 Commission et les États membres sont responsables de la qualité et de l'exhaustivité des données forestières qu'ils collectent et partagent dans le cadre du système de surveillance des forêts.</w:t>
      </w:r>
      <w:r w:rsidRPr="004D7BCC">
        <w:rPr>
          <w:rFonts w:ascii="Helvetica Neue" w:hAnsi="Helvetica Neue"/>
          <w:color w:val="000000" w:themeColor="text1"/>
          <w:sz w:val="22"/>
          <w:szCs w:val="22"/>
        </w:rPr>
        <w:t xml:space="preserve"> </w:t>
      </w:r>
      <w:r w:rsidRPr="004D7BCC">
        <w:rPr>
          <w:rFonts w:ascii="Helvetica Neue" w:hAnsi="Helvetica Neue"/>
          <w:color w:val="000000" w:themeColor="text1"/>
          <w:sz w:val="22"/>
          <w:szCs w:val="22"/>
        </w:rPr>
        <w:t>Les États membres évaluent chaque année la qualité des données partagées conformément au présent règlement.</w:t>
      </w:r>
    </w:p>
    <w:p w14:paraId="4DD73DEA" w14:textId="02A85682" w:rsidR="0077405C" w:rsidRPr="004D7BCC" w:rsidRDefault="00D86CFF" w:rsidP="00D86CFF">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Lorsque l'évaluation révèle des lacunes dans les données, les États membres adoptent les mesures correctives appropriées.</w:t>
      </w:r>
    </w:p>
    <w:p w14:paraId="0D6F0679" w14:textId="77777777" w:rsidR="00D86CFF" w:rsidRPr="004D7BCC" w:rsidRDefault="00D86CFF" w:rsidP="008367C2">
      <w:pPr>
        <w:jc w:val="both"/>
        <w:rPr>
          <w:rFonts w:ascii="Helvetica Neue" w:hAnsi="Helvetica Neue"/>
          <w:sz w:val="22"/>
          <w:szCs w:val="22"/>
        </w:rPr>
      </w:pPr>
    </w:p>
    <w:p w14:paraId="6F783444" w14:textId="78365DAB" w:rsidR="006635D0" w:rsidRPr="004D7BCC" w:rsidRDefault="006635D0" w:rsidP="008367C2">
      <w:pPr>
        <w:jc w:val="both"/>
        <w:rPr>
          <w:rFonts w:ascii="Helvetica Neue" w:hAnsi="Helvetica Neue"/>
          <w:b/>
          <w:bCs/>
          <w:sz w:val="22"/>
          <w:szCs w:val="22"/>
        </w:rPr>
      </w:pPr>
      <w:r w:rsidRPr="004D7BCC">
        <w:rPr>
          <w:rFonts w:ascii="Helvetica Neue" w:hAnsi="Helvetica Neue"/>
          <w:b/>
          <w:bCs/>
          <w:sz w:val="22"/>
          <w:szCs w:val="22"/>
        </w:rPr>
        <w:t>Chapitre 3 : Gouvernance intégrée</w:t>
      </w:r>
    </w:p>
    <w:p w14:paraId="1C870356" w14:textId="77777777" w:rsidR="006635D0" w:rsidRPr="004D7BCC" w:rsidRDefault="006635D0" w:rsidP="008367C2">
      <w:pPr>
        <w:jc w:val="both"/>
        <w:rPr>
          <w:rFonts w:ascii="Helvetica Neue" w:hAnsi="Helvetica Neue"/>
          <w:b/>
          <w:bCs/>
          <w:sz w:val="22"/>
          <w:szCs w:val="22"/>
        </w:rPr>
      </w:pPr>
    </w:p>
    <w:p w14:paraId="107197B3" w14:textId="6BA08069"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11 : Coordination et coopération</w:t>
      </w:r>
    </w:p>
    <w:p w14:paraId="5FB20138" w14:textId="77777777" w:rsidR="006635D0" w:rsidRPr="004D7BCC" w:rsidRDefault="006635D0" w:rsidP="008367C2">
      <w:pPr>
        <w:jc w:val="both"/>
        <w:rPr>
          <w:rFonts w:ascii="Helvetica Neue" w:hAnsi="Helvetica Neue"/>
          <w:color w:val="4472C4" w:themeColor="accent1"/>
          <w:sz w:val="22"/>
          <w:szCs w:val="22"/>
        </w:rPr>
      </w:pPr>
    </w:p>
    <w:p w14:paraId="6A813210" w14:textId="5ABFB733" w:rsidR="006635D0"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et la Commission coordonnent leurs efforts et coopèrent pour améliorer la qualité, l'actualité et la couverture des données forestières.</w:t>
      </w:r>
      <w:r w:rsidRPr="004D7BCC">
        <w:rPr>
          <w:rFonts w:ascii="Helvetica Neue" w:hAnsi="Helvetica Neue"/>
          <w:color w:val="000000" w:themeColor="text1"/>
          <w:sz w:val="22"/>
          <w:szCs w:val="22"/>
        </w:rPr>
        <w:t xml:space="preserve"> </w:t>
      </w:r>
      <w:r w:rsidRPr="004D7BCC">
        <w:rPr>
          <w:rFonts w:ascii="Helvetica Neue" w:hAnsi="Helvetica Neue"/>
          <w:color w:val="000000" w:themeColor="text1"/>
          <w:sz w:val="22"/>
          <w:szCs w:val="22"/>
        </w:rPr>
        <w:t>La Commission soutient les États membres, à leur demande, dans l'élaboration ou l'adaptation de leurs plans forestiers intégrés volontaires à long terme</w:t>
      </w:r>
      <w:r w:rsidRPr="004D7BCC">
        <w:rPr>
          <w:rFonts w:ascii="Helvetica Neue" w:hAnsi="Helvetica Neue"/>
          <w:sz w:val="22"/>
          <w:szCs w:val="22"/>
        </w:rPr>
        <w:t xml:space="preserve"> </w:t>
      </w:r>
      <w:r w:rsidRPr="004D7BCC">
        <w:rPr>
          <w:rFonts w:ascii="Helvetica Neue" w:hAnsi="Helvetica Neue"/>
          <w:color w:val="000000" w:themeColor="text1"/>
          <w:sz w:val="22"/>
          <w:szCs w:val="22"/>
        </w:rPr>
        <w:t>en fournissant des informations sur l'état des connaissances scientifiques sous-jacentes et en facilitant l'échange de connaissances et de bonnes pratiques.</w:t>
      </w:r>
    </w:p>
    <w:p w14:paraId="525F0ED4" w14:textId="77777777" w:rsidR="00D86CFF" w:rsidRPr="004D7BCC" w:rsidRDefault="00D86CFF" w:rsidP="008367C2">
      <w:pPr>
        <w:jc w:val="both"/>
        <w:rPr>
          <w:rFonts w:ascii="Helvetica Neue" w:hAnsi="Helvetica Neue"/>
          <w:color w:val="000000" w:themeColor="text1"/>
          <w:sz w:val="22"/>
          <w:szCs w:val="22"/>
        </w:rPr>
      </w:pPr>
    </w:p>
    <w:p w14:paraId="645C37E9" w14:textId="6F4E80D2" w:rsidR="00D86CFF"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coopèrent entre eux et coordonnent leurs actions pour améliorer la qualité, l'actualité et la couverture des données forestières. Cette coopération et cette coordination se fondent sur un débat scientifique ouvert et visent à promouvoir des avis scientifiques impartiaux.</w:t>
      </w:r>
    </w:p>
    <w:p w14:paraId="68884194" w14:textId="77777777" w:rsidR="00D86CFF" w:rsidRPr="004D7BCC" w:rsidRDefault="00D86CFF" w:rsidP="008367C2">
      <w:pPr>
        <w:jc w:val="both"/>
        <w:rPr>
          <w:rFonts w:ascii="Helvetica Neue" w:hAnsi="Helvetica Neue"/>
          <w:color w:val="000000" w:themeColor="text1"/>
          <w:sz w:val="22"/>
          <w:szCs w:val="22"/>
        </w:rPr>
      </w:pPr>
    </w:p>
    <w:p w14:paraId="5449FB32" w14:textId="21FC2EE5" w:rsidR="00D86CFF"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et la Commission peuvent utiliser les structures de coopération institutionnelle régionales existantes, y compris celles prévues par les conventions régionales et d'autres forums et processus concernant les forêts.</w:t>
      </w:r>
    </w:p>
    <w:p w14:paraId="0896B5F5" w14:textId="77777777" w:rsidR="006635D0" w:rsidRPr="004D7BCC" w:rsidRDefault="006635D0" w:rsidP="008367C2">
      <w:pPr>
        <w:jc w:val="both"/>
        <w:rPr>
          <w:rFonts w:ascii="Helvetica Neue" w:hAnsi="Helvetica Neue"/>
          <w:i/>
          <w:iCs/>
          <w:color w:val="4472C4" w:themeColor="accent1"/>
          <w:sz w:val="22"/>
          <w:szCs w:val="22"/>
        </w:rPr>
      </w:pPr>
    </w:p>
    <w:p w14:paraId="353F5360" w14:textId="003E96B5"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12 : Correspondants nationaux</w:t>
      </w:r>
    </w:p>
    <w:p w14:paraId="5CFDB3CA" w14:textId="77777777" w:rsidR="006635D0" w:rsidRPr="004D7BCC" w:rsidRDefault="006635D0" w:rsidP="008367C2">
      <w:pPr>
        <w:jc w:val="both"/>
        <w:rPr>
          <w:rFonts w:ascii="Helvetica Neue" w:hAnsi="Helvetica Neue"/>
          <w:i/>
          <w:iCs/>
          <w:color w:val="4472C4" w:themeColor="accent1"/>
          <w:sz w:val="22"/>
          <w:szCs w:val="22"/>
        </w:rPr>
      </w:pPr>
    </w:p>
    <w:p w14:paraId="612BC7FA" w14:textId="77777777" w:rsidR="00D86CFF" w:rsidRPr="004D7BCC" w:rsidRDefault="00D86CFF" w:rsidP="00D86CFF">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Chaque État membre désigne un correspondant national et en informe la Commission.</w:t>
      </w:r>
      <w:r w:rsidRPr="004D7BCC">
        <w:rPr>
          <w:rFonts w:ascii="Helvetica Neue" w:hAnsi="Helvetica Neue"/>
          <w:color w:val="000000" w:themeColor="text1"/>
          <w:sz w:val="22"/>
          <w:szCs w:val="22"/>
        </w:rPr>
        <w:t xml:space="preserve"> </w:t>
      </w:r>
    </w:p>
    <w:p w14:paraId="0FD2F7CE" w14:textId="77777777" w:rsidR="00D86CFF" w:rsidRPr="004D7BCC" w:rsidRDefault="00D86CFF" w:rsidP="00D86CFF">
      <w:pPr>
        <w:jc w:val="both"/>
        <w:rPr>
          <w:rFonts w:ascii="Helvetica Neue" w:hAnsi="Helvetica Neue"/>
          <w:color w:val="000000" w:themeColor="text1"/>
          <w:sz w:val="22"/>
          <w:szCs w:val="22"/>
        </w:rPr>
      </w:pPr>
    </w:p>
    <w:p w14:paraId="3274AF56" w14:textId="77777777" w:rsidR="00D86CFF" w:rsidRPr="004D7BCC" w:rsidRDefault="00D86CFF" w:rsidP="00D86CFF">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correspondant national s'acquitte notamment des tâches suivantes</w:t>
      </w:r>
      <w:r w:rsidRPr="004D7BCC">
        <w:rPr>
          <w:rFonts w:ascii="Helvetica Neue" w:hAnsi="Helvetica Neue"/>
          <w:color w:val="000000" w:themeColor="text1"/>
          <w:sz w:val="22"/>
          <w:szCs w:val="22"/>
        </w:rPr>
        <w:t> :</w:t>
      </w:r>
    </w:p>
    <w:p w14:paraId="623F1FA4" w14:textId="77777777" w:rsidR="00D86CFF" w:rsidRPr="004D7BCC" w:rsidRDefault="00D86CFF" w:rsidP="00D86CFF">
      <w:pPr>
        <w:pStyle w:val="Paragraphedeliste"/>
        <w:numPr>
          <w:ilvl w:val="0"/>
          <w:numId w:val="1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coordonner</w:t>
      </w:r>
      <w:proofErr w:type="gramEnd"/>
      <w:r w:rsidRPr="004D7BCC">
        <w:rPr>
          <w:rFonts w:ascii="Helvetica Neue" w:hAnsi="Helvetica Neue"/>
          <w:color w:val="000000" w:themeColor="text1"/>
          <w:sz w:val="22"/>
          <w:szCs w:val="22"/>
        </w:rPr>
        <w:t xml:space="preserve"> la préparation des données forestières à partager en vertu du présent règlement, en tenant compte de toutes les autorités compétentes, y compris celles chargées de la prévention et de la gestion des risques de catastrophes ;</w:t>
      </w:r>
    </w:p>
    <w:p w14:paraId="3D78ACF7" w14:textId="2563018C" w:rsidR="006635D0" w:rsidRPr="004D7BCC" w:rsidRDefault="00D86CFF" w:rsidP="00D86CFF">
      <w:pPr>
        <w:pStyle w:val="Paragraphedeliste"/>
        <w:numPr>
          <w:ilvl w:val="0"/>
          <w:numId w:val="15"/>
        </w:numPr>
        <w:jc w:val="both"/>
        <w:rPr>
          <w:rFonts w:ascii="Helvetica Neue" w:hAnsi="Helvetica Neue"/>
          <w:color w:val="000000" w:themeColor="text1"/>
          <w:sz w:val="22"/>
          <w:szCs w:val="22"/>
        </w:rPr>
      </w:pPr>
      <w:proofErr w:type="gramStart"/>
      <w:r w:rsidRPr="004D7BCC">
        <w:rPr>
          <w:rFonts w:ascii="Helvetica Neue" w:hAnsi="Helvetica Neue"/>
          <w:color w:val="000000" w:themeColor="text1"/>
          <w:sz w:val="22"/>
          <w:szCs w:val="22"/>
        </w:rPr>
        <w:t>coordonner</w:t>
      </w:r>
      <w:proofErr w:type="gramEnd"/>
      <w:r w:rsidRPr="004D7BCC">
        <w:rPr>
          <w:rFonts w:ascii="Helvetica Neue" w:hAnsi="Helvetica Neue"/>
          <w:color w:val="000000" w:themeColor="text1"/>
          <w:sz w:val="22"/>
          <w:szCs w:val="22"/>
        </w:rPr>
        <w:t xml:space="preserve"> la participation des experts concernés aux réunions des groupes d'experts organisées par la Commission et d'autres organismes compétents.</w:t>
      </w:r>
    </w:p>
    <w:p w14:paraId="646709C4" w14:textId="77777777" w:rsidR="00D86CFF" w:rsidRPr="004D7BCC" w:rsidRDefault="00D86CFF" w:rsidP="00D86CFF">
      <w:pPr>
        <w:jc w:val="both"/>
        <w:rPr>
          <w:rFonts w:ascii="Helvetica Neue" w:hAnsi="Helvetica Neue"/>
          <w:color w:val="000000" w:themeColor="text1"/>
          <w:sz w:val="22"/>
          <w:szCs w:val="22"/>
        </w:rPr>
      </w:pPr>
    </w:p>
    <w:p w14:paraId="2E816281" w14:textId="318EE205" w:rsidR="00D86CFF" w:rsidRPr="004D7BCC" w:rsidRDefault="00D86CFF" w:rsidP="00D86CFF">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correspondant national sert de point de contact pour l'échange d'informations entre la Commission et l'État membre en vue de l'élaboration ou de l'adaptation des plans intégrés volontaires à long terme</w:t>
      </w:r>
      <w:r w:rsidRPr="004D7BCC">
        <w:rPr>
          <w:rFonts w:ascii="Helvetica Neue" w:hAnsi="Helvetica Neue"/>
          <w:color w:val="000000" w:themeColor="text1"/>
          <w:sz w:val="22"/>
          <w:szCs w:val="22"/>
        </w:rPr>
        <w:t xml:space="preserve">. </w:t>
      </w:r>
      <w:r w:rsidRPr="004D7BCC">
        <w:rPr>
          <w:rFonts w:ascii="Helvetica Neue" w:hAnsi="Helvetica Neue"/>
          <w:color w:val="000000" w:themeColor="text1"/>
          <w:sz w:val="22"/>
          <w:szCs w:val="22"/>
        </w:rPr>
        <w:t>Lorsque plusieurs autorités d'un État membre participent à l'élaboration ou à l'adaptation du plan forestier intégré volontaire à long terme, le correspondant national est responsable de la coordination de ces travaux.</w:t>
      </w:r>
    </w:p>
    <w:p w14:paraId="12923EA9" w14:textId="77777777" w:rsidR="006635D0" w:rsidRPr="004D7BCC" w:rsidRDefault="006635D0" w:rsidP="008367C2">
      <w:pPr>
        <w:jc w:val="both"/>
        <w:rPr>
          <w:rFonts w:ascii="Helvetica Neue" w:hAnsi="Helvetica Neue"/>
          <w:i/>
          <w:iCs/>
          <w:color w:val="4472C4" w:themeColor="accent1"/>
          <w:sz w:val="22"/>
          <w:szCs w:val="22"/>
        </w:rPr>
      </w:pPr>
    </w:p>
    <w:p w14:paraId="2B0805AB" w14:textId="349F114E"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13 : </w:t>
      </w:r>
      <w:r w:rsidRPr="004D7BCC">
        <w:rPr>
          <w:rFonts w:ascii="Helvetica Neue" w:hAnsi="Helvetica Neue"/>
          <w:i/>
          <w:iCs/>
          <w:color w:val="4472C4" w:themeColor="accent1"/>
          <w:sz w:val="22"/>
          <w:szCs w:val="22"/>
        </w:rPr>
        <w:t>Plans intégrés volontaires à long terme</w:t>
      </w:r>
    </w:p>
    <w:p w14:paraId="6E2CF9A5" w14:textId="77777777" w:rsidR="006635D0" w:rsidRPr="004D7BCC" w:rsidRDefault="006635D0" w:rsidP="008367C2">
      <w:pPr>
        <w:jc w:val="both"/>
        <w:rPr>
          <w:rFonts w:ascii="Helvetica Neue" w:hAnsi="Helvetica Neue"/>
          <w:i/>
          <w:iCs/>
          <w:color w:val="4472C4" w:themeColor="accent1"/>
          <w:sz w:val="22"/>
          <w:szCs w:val="22"/>
        </w:rPr>
      </w:pPr>
    </w:p>
    <w:p w14:paraId="08F864B3" w14:textId="623A4AB2" w:rsidR="006635D0"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sont encouragés à élaborer des plans forestiers intégrés à long terme ou à adapter leurs plans ou stratégies forestiers intégrés à long terme existants, en tenant compte d'une perspective à moyen et long terme, y compris, mais sans s'y limiter, jusqu'en 2040 et 2050.</w:t>
      </w:r>
    </w:p>
    <w:p w14:paraId="3A26D097" w14:textId="77777777" w:rsidR="00D86CFF" w:rsidRPr="004D7BCC" w:rsidRDefault="00D86CFF" w:rsidP="008367C2">
      <w:pPr>
        <w:jc w:val="both"/>
        <w:rPr>
          <w:rFonts w:ascii="Helvetica Neue" w:hAnsi="Helvetica Neue"/>
          <w:color w:val="000000" w:themeColor="text1"/>
          <w:sz w:val="22"/>
          <w:szCs w:val="22"/>
        </w:rPr>
      </w:pPr>
    </w:p>
    <w:p w14:paraId="3883FF1E" w14:textId="7B0F6E32" w:rsidR="00D86CFF" w:rsidRPr="004D7BCC" w:rsidRDefault="00D86CFF"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Les États membres encouragent la participation active de toutes les parties intéressées à l'élaboration de leurs plans forestiers intégrés à long terme. Les États membres mettent les plans à la disposition du public.</w:t>
      </w:r>
    </w:p>
    <w:p w14:paraId="065E315C" w14:textId="77777777" w:rsidR="006635D0" w:rsidRPr="004D7BCC" w:rsidRDefault="006635D0" w:rsidP="008367C2">
      <w:pPr>
        <w:jc w:val="both"/>
        <w:rPr>
          <w:rFonts w:ascii="Helvetica Neue" w:hAnsi="Helvetica Neue"/>
          <w:i/>
          <w:iCs/>
          <w:sz w:val="22"/>
          <w:szCs w:val="22"/>
        </w:rPr>
      </w:pPr>
    </w:p>
    <w:p w14:paraId="7CCA9D8A" w14:textId="71FF7AA4" w:rsidR="006635D0" w:rsidRPr="004D7BCC" w:rsidRDefault="006635D0" w:rsidP="008367C2">
      <w:pPr>
        <w:jc w:val="both"/>
        <w:rPr>
          <w:rFonts w:ascii="Helvetica Neue" w:hAnsi="Helvetica Neue"/>
          <w:sz w:val="22"/>
          <w:szCs w:val="22"/>
        </w:rPr>
      </w:pPr>
      <w:r w:rsidRPr="004D7BCC">
        <w:rPr>
          <w:rFonts w:ascii="Helvetica Neue" w:hAnsi="Helvetica Neue"/>
          <w:b/>
          <w:bCs/>
          <w:sz w:val="22"/>
          <w:szCs w:val="22"/>
        </w:rPr>
        <w:t>Chapitre 4 : Dispositions finales</w:t>
      </w:r>
    </w:p>
    <w:p w14:paraId="30E4547A" w14:textId="77777777" w:rsidR="006635D0" w:rsidRPr="004D7BCC" w:rsidRDefault="006635D0" w:rsidP="008367C2">
      <w:pPr>
        <w:jc w:val="both"/>
        <w:rPr>
          <w:rFonts w:ascii="Helvetica Neue" w:hAnsi="Helvetica Neue"/>
          <w:sz w:val="22"/>
          <w:szCs w:val="22"/>
        </w:rPr>
      </w:pPr>
    </w:p>
    <w:p w14:paraId="7592F7D0" w14:textId="209E0418"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14 : Exercice de la délégatio</w:t>
      </w:r>
      <w:r w:rsidR="004D7BCC" w:rsidRPr="004D7BCC">
        <w:rPr>
          <w:rFonts w:ascii="Helvetica Neue" w:hAnsi="Helvetica Neue"/>
          <w:i/>
          <w:iCs/>
          <w:color w:val="4472C4" w:themeColor="accent1"/>
          <w:sz w:val="22"/>
          <w:szCs w:val="22"/>
        </w:rPr>
        <w:t>n</w:t>
      </w:r>
    </w:p>
    <w:p w14:paraId="3A413D86" w14:textId="2869B286"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 xml:space="preserve">Article 15 : </w:t>
      </w:r>
      <w:r w:rsidRPr="004D7BCC">
        <w:rPr>
          <w:rFonts w:ascii="Helvetica Neue" w:hAnsi="Helvetica Neue"/>
          <w:i/>
          <w:iCs/>
          <w:color w:val="4472C4" w:themeColor="accent1"/>
          <w:sz w:val="22"/>
          <w:szCs w:val="22"/>
        </w:rPr>
        <w:t>Procédure de comité</w:t>
      </w:r>
    </w:p>
    <w:p w14:paraId="20FAEE87" w14:textId="77777777" w:rsidR="006635D0" w:rsidRPr="004D7BCC" w:rsidRDefault="006635D0" w:rsidP="008367C2">
      <w:pPr>
        <w:jc w:val="both"/>
        <w:rPr>
          <w:rFonts w:ascii="Helvetica Neue" w:hAnsi="Helvetica Neue"/>
          <w:i/>
          <w:iCs/>
          <w:color w:val="4472C4" w:themeColor="accent1"/>
          <w:sz w:val="22"/>
          <w:szCs w:val="22"/>
        </w:rPr>
      </w:pPr>
    </w:p>
    <w:p w14:paraId="1211F4E6" w14:textId="00C56728" w:rsidR="006635D0" w:rsidRPr="004D7BCC" w:rsidRDefault="004D7BCC"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La Commission est assistée par un comité. </w:t>
      </w:r>
    </w:p>
    <w:p w14:paraId="7750E8C6" w14:textId="77777777" w:rsidR="006635D0" w:rsidRPr="004D7BCC" w:rsidRDefault="006635D0" w:rsidP="008367C2">
      <w:pPr>
        <w:jc w:val="both"/>
        <w:rPr>
          <w:rFonts w:ascii="Helvetica Neue" w:hAnsi="Helvetica Neue"/>
          <w:i/>
          <w:iCs/>
          <w:color w:val="4472C4" w:themeColor="accent1"/>
          <w:sz w:val="22"/>
          <w:szCs w:val="22"/>
        </w:rPr>
      </w:pPr>
    </w:p>
    <w:p w14:paraId="68AFD08F" w14:textId="4DAD156E" w:rsidR="006635D0" w:rsidRPr="004D7BCC" w:rsidRDefault="006635D0" w:rsidP="008367C2">
      <w:pPr>
        <w:jc w:val="both"/>
        <w:rPr>
          <w:rFonts w:ascii="Helvetica Neue" w:hAnsi="Helvetica Neue"/>
          <w:i/>
          <w:iCs/>
          <w:color w:val="4472C4" w:themeColor="accent1"/>
          <w:sz w:val="22"/>
          <w:szCs w:val="22"/>
        </w:rPr>
      </w:pPr>
      <w:r w:rsidRPr="004D7BCC">
        <w:rPr>
          <w:rFonts w:ascii="Helvetica Neue" w:hAnsi="Helvetica Neue"/>
          <w:i/>
          <w:iCs/>
          <w:color w:val="4472C4" w:themeColor="accent1"/>
          <w:sz w:val="22"/>
          <w:szCs w:val="22"/>
        </w:rPr>
        <w:t>Article 16 : Révision</w:t>
      </w:r>
    </w:p>
    <w:p w14:paraId="527DDBCA" w14:textId="77777777" w:rsidR="006635D0" w:rsidRPr="004D7BCC" w:rsidRDefault="006635D0" w:rsidP="008367C2">
      <w:pPr>
        <w:jc w:val="both"/>
        <w:rPr>
          <w:rFonts w:ascii="Helvetica Neue" w:hAnsi="Helvetica Neue"/>
          <w:i/>
          <w:iCs/>
          <w:color w:val="4472C4" w:themeColor="accent1"/>
          <w:sz w:val="22"/>
          <w:szCs w:val="22"/>
        </w:rPr>
      </w:pPr>
    </w:p>
    <w:p w14:paraId="4A681A91" w14:textId="3B0D21B1" w:rsidR="006635D0" w:rsidRPr="004D7BCC" w:rsidRDefault="004D7BCC"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présent règlement est réexaminé à tous égards, en tenant compte des évolutions pertinentes concernant la législation de l'Union, les cadres internationaux, les progrès technologiques et scientifiques, les besoins supplémentaires en matière de surveillance et la qualité des données partagées en vertu du présent règlement.</w:t>
      </w:r>
    </w:p>
    <w:p w14:paraId="7E0422FB" w14:textId="77777777" w:rsidR="004D7BCC" w:rsidRPr="004D7BCC" w:rsidRDefault="004D7BCC" w:rsidP="008367C2">
      <w:pPr>
        <w:jc w:val="both"/>
        <w:rPr>
          <w:rFonts w:ascii="Helvetica Neue" w:hAnsi="Helvetica Neue"/>
          <w:color w:val="000000" w:themeColor="text1"/>
          <w:sz w:val="22"/>
          <w:szCs w:val="22"/>
        </w:rPr>
      </w:pPr>
    </w:p>
    <w:p w14:paraId="5A456F29" w14:textId="50D347EA" w:rsidR="004D7BCC" w:rsidRPr="004D7BCC" w:rsidRDefault="004D7BCC"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Au plus tard 5 ans après l’entrée en vigueur du règlement, </w:t>
      </w:r>
      <w:r w:rsidRPr="004D7BCC">
        <w:rPr>
          <w:rFonts w:ascii="Helvetica Neue" w:hAnsi="Helvetica Neue"/>
          <w:color w:val="000000" w:themeColor="text1"/>
          <w:sz w:val="22"/>
          <w:szCs w:val="22"/>
        </w:rPr>
        <w:t>la Commission fait rapport au Parlement européen et au Conseil sur la mise en œuvre du présent règlement.</w:t>
      </w:r>
    </w:p>
    <w:p w14:paraId="73F39CB9" w14:textId="77777777" w:rsidR="006635D0" w:rsidRPr="004D7BCC" w:rsidRDefault="006635D0" w:rsidP="008367C2">
      <w:pPr>
        <w:jc w:val="both"/>
        <w:rPr>
          <w:rFonts w:ascii="Helvetica Neue" w:hAnsi="Helvetica Neue"/>
          <w:i/>
          <w:iCs/>
          <w:color w:val="4472C4" w:themeColor="accent1"/>
          <w:sz w:val="22"/>
          <w:szCs w:val="22"/>
        </w:rPr>
      </w:pPr>
    </w:p>
    <w:p w14:paraId="1FCCA5AA" w14:textId="547AC342" w:rsidR="006635D0" w:rsidRPr="004D7BCC" w:rsidRDefault="006635D0" w:rsidP="008367C2">
      <w:pPr>
        <w:jc w:val="both"/>
        <w:rPr>
          <w:rFonts w:ascii="Helvetica Neue" w:hAnsi="Helvetica Neue"/>
          <w:color w:val="4472C4" w:themeColor="accent1"/>
          <w:sz w:val="22"/>
          <w:szCs w:val="22"/>
        </w:rPr>
      </w:pPr>
      <w:r w:rsidRPr="004D7BCC">
        <w:rPr>
          <w:rFonts w:ascii="Helvetica Neue" w:hAnsi="Helvetica Neue"/>
          <w:i/>
          <w:iCs/>
          <w:color w:val="4472C4" w:themeColor="accent1"/>
          <w:sz w:val="22"/>
          <w:szCs w:val="22"/>
        </w:rPr>
        <w:t>Article 17 : Entrée en vigueur</w:t>
      </w:r>
    </w:p>
    <w:p w14:paraId="479193AE" w14:textId="77777777" w:rsidR="004D7BCC" w:rsidRPr="004D7BCC" w:rsidRDefault="004D7BCC" w:rsidP="008367C2">
      <w:pPr>
        <w:jc w:val="both"/>
        <w:rPr>
          <w:rFonts w:ascii="Helvetica Neue" w:hAnsi="Helvetica Neue"/>
          <w:color w:val="4472C4" w:themeColor="accent1"/>
          <w:sz w:val="22"/>
          <w:szCs w:val="22"/>
        </w:rPr>
      </w:pPr>
    </w:p>
    <w:p w14:paraId="14CE7616" w14:textId="1EF47A3C" w:rsidR="004D7BCC" w:rsidRPr="004D7BCC" w:rsidRDefault="004D7BCC" w:rsidP="008367C2">
      <w:pPr>
        <w:jc w:val="both"/>
        <w:rPr>
          <w:rFonts w:ascii="Helvetica Neue" w:hAnsi="Helvetica Neue"/>
          <w:color w:val="000000" w:themeColor="text1"/>
          <w:sz w:val="22"/>
          <w:szCs w:val="22"/>
        </w:rPr>
      </w:pPr>
      <w:r w:rsidRPr="004D7BCC">
        <w:rPr>
          <w:rFonts w:ascii="Helvetica Neue" w:hAnsi="Helvetica Neue"/>
          <w:b/>
          <w:bCs/>
          <w:color w:val="000000" w:themeColor="text1"/>
          <w:sz w:val="22"/>
          <w:szCs w:val="22"/>
        </w:rPr>
        <w:t>Annexes</w:t>
      </w:r>
      <w:r w:rsidRPr="004D7BCC">
        <w:rPr>
          <w:rFonts w:ascii="Helvetica Neue" w:hAnsi="Helvetica Neue"/>
          <w:color w:val="000000" w:themeColor="text1"/>
          <w:sz w:val="22"/>
          <w:szCs w:val="22"/>
        </w:rPr>
        <w:t xml:space="preserve"> </w:t>
      </w:r>
    </w:p>
    <w:p w14:paraId="7F860098" w14:textId="77777777" w:rsidR="004D7BCC" w:rsidRPr="004D7BCC" w:rsidRDefault="004D7BCC" w:rsidP="008367C2">
      <w:pPr>
        <w:jc w:val="both"/>
        <w:rPr>
          <w:rFonts w:ascii="Helvetica Neue" w:hAnsi="Helvetica Neue"/>
          <w:color w:val="000000" w:themeColor="text1"/>
          <w:sz w:val="22"/>
          <w:szCs w:val="22"/>
        </w:rPr>
      </w:pPr>
    </w:p>
    <w:p w14:paraId="53EAD6D8" w14:textId="3A16A23F" w:rsidR="004D7BCC" w:rsidRPr="004D7BCC" w:rsidRDefault="004D7BCC" w:rsidP="008367C2">
      <w:p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Le règlement comporte quatre annexes :</w:t>
      </w:r>
    </w:p>
    <w:p w14:paraId="7082E667" w14:textId="77777777" w:rsidR="004D7BCC" w:rsidRPr="004D7BCC" w:rsidRDefault="004D7BCC" w:rsidP="008367C2">
      <w:pPr>
        <w:jc w:val="both"/>
        <w:rPr>
          <w:rFonts w:ascii="Helvetica Neue" w:hAnsi="Helvetica Neue"/>
          <w:color w:val="000000" w:themeColor="text1"/>
          <w:sz w:val="22"/>
          <w:szCs w:val="22"/>
        </w:rPr>
      </w:pPr>
    </w:p>
    <w:p w14:paraId="41457169" w14:textId="515F6E7E" w:rsidR="004D7BCC" w:rsidRPr="004D7BCC" w:rsidRDefault="004D7BCC" w:rsidP="004D7BCC">
      <w:pPr>
        <w:pStyle w:val="Paragraphedeliste"/>
        <w:numPr>
          <w:ilvl w:val="0"/>
          <w:numId w:val="1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L’annexe I comporte la liste des données forestières visées à l’article 5.2 et leurs spécifications techniques ;</w:t>
      </w:r>
    </w:p>
    <w:p w14:paraId="012B33F8" w14:textId="4DB0DE0F" w:rsidR="004D7BCC" w:rsidRPr="004D7BCC" w:rsidRDefault="004D7BCC" w:rsidP="004D7BCC">
      <w:pPr>
        <w:pStyle w:val="Paragraphedeliste"/>
        <w:numPr>
          <w:ilvl w:val="0"/>
          <w:numId w:val="1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lastRenderedPageBreak/>
        <w:t xml:space="preserve">L’annexe II comporte la liste </w:t>
      </w:r>
      <w:r w:rsidRPr="004D7BCC">
        <w:rPr>
          <w:rFonts w:ascii="Helvetica Neue" w:hAnsi="Helvetica Neue"/>
          <w:color w:val="000000" w:themeColor="text1"/>
          <w:sz w:val="22"/>
          <w:szCs w:val="22"/>
        </w:rPr>
        <w:t>des données forestières visées à l’article 5.</w:t>
      </w:r>
      <w:r w:rsidRPr="004D7BCC">
        <w:rPr>
          <w:rFonts w:ascii="Helvetica Neue" w:hAnsi="Helvetica Neue"/>
          <w:color w:val="000000" w:themeColor="text1"/>
          <w:sz w:val="22"/>
          <w:szCs w:val="22"/>
        </w:rPr>
        <w:t>3</w:t>
      </w:r>
      <w:r w:rsidRPr="004D7BCC">
        <w:rPr>
          <w:rFonts w:ascii="Helvetica Neue" w:hAnsi="Helvetica Neue"/>
          <w:color w:val="000000" w:themeColor="text1"/>
          <w:sz w:val="22"/>
          <w:szCs w:val="22"/>
        </w:rPr>
        <w:t xml:space="preserve"> et leurs spécifications techniques</w:t>
      </w:r>
      <w:r w:rsidRPr="004D7BCC">
        <w:rPr>
          <w:rFonts w:ascii="Helvetica Neue" w:hAnsi="Helvetica Neue"/>
          <w:color w:val="000000" w:themeColor="text1"/>
          <w:sz w:val="22"/>
          <w:szCs w:val="22"/>
        </w:rPr>
        <w:t> ;</w:t>
      </w:r>
    </w:p>
    <w:p w14:paraId="63CEE2E3" w14:textId="1CE5E2F4" w:rsidR="004D7BCC" w:rsidRPr="004D7BCC" w:rsidRDefault="004D7BCC" w:rsidP="004D7BCC">
      <w:pPr>
        <w:pStyle w:val="Paragraphedeliste"/>
        <w:numPr>
          <w:ilvl w:val="0"/>
          <w:numId w:val="1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L’annexe III comporte les descriptions des données forestières visées à l’article 8 ;</w:t>
      </w:r>
    </w:p>
    <w:p w14:paraId="57583DAA" w14:textId="2F368F5F" w:rsidR="004D7BCC" w:rsidRPr="004D7BCC" w:rsidRDefault="004D7BCC" w:rsidP="004D7BCC">
      <w:pPr>
        <w:pStyle w:val="Paragraphedeliste"/>
        <w:numPr>
          <w:ilvl w:val="0"/>
          <w:numId w:val="16"/>
        </w:numPr>
        <w:jc w:val="both"/>
        <w:rPr>
          <w:rFonts w:ascii="Helvetica Neue" w:hAnsi="Helvetica Neue"/>
          <w:color w:val="000000" w:themeColor="text1"/>
          <w:sz w:val="22"/>
          <w:szCs w:val="22"/>
        </w:rPr>
      </w:pPr>
      <w:r w:rsidRPr="004D7BCC">
        <w:rPr>
          <w:rFonts w:ascii="Helvetica Neue" w:hAnsi="Helvetica Neue"/>
          <w:color w:val="000000" w:themeColor="text1"/>
          <w:sz w:val="22"/>
          <w:szCs w:val="22"/>
        </w:rPr>
        <w:t xml:space="preserve">L’annexe IV regroupe les aspects recommandés pour les plans intégrés volontaires à long terme visés à l’article 13. </w:t>
      </w:r>
    </w:p>
    <w:sectPr w:rsidR="004D7BCC" w:rsidRPr="004D7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9D5"/>
    <w:multiLevelType w:val="hybridMultilevel"/>
    <w:tmpl w:val="CDD609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B751B"/>
    <w:multiLevelType w:val="hybridMultilevel"/>
    <w:tmpl w:val="8CCAC3D6"/>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37756"/>
    <w:multiLevelType w:val="hybridMultilevel"/>
    <w:tmpl w:val="DBCCB4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0563E"/>
    <w:multiLevelType w:val="hybridMultilevel"/>
    <w:tmpl w:val="F57C5E86"/>
    <w:lvl w:ilvl="0" w:tplc="040C0017">
      <w:start w:val="1"/>
      <w:numFmt w:val="lowerLetter"/>
      <w:lvlText w:val="%1)"/>
      <w:lvlJc w:val="left"/>
      <w:pPr>
        <w:ind w:left="720" w:hanging="360"/>
      </w:pPr>
    </w:lvl>
    <w:lvl w:ilvl="1" w:tplc="BCCE9CB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733D81"/>
    <w:multiLevelType w:val="hybridMultilevel"/>
    <w:tmpl w:val="6B3C6D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5A1673"/>
    <w:multiLevelType w:val="hybridMultilevel"/>
    <w:tmpl w:val="7AC07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C10354"/>
    <w:multiLevelType w:val="hybridMultilevel"/>
    <w:tmpl w:val="7DCEA562"/>
    <w:lvl w:ilvl="0" w:tplc="040C0017">
      <w:start w:val="1"/>
      <w:numFmt w:val="lowerLetter"/>
      <w:lvlText w:val="%1)"/>
      <w:lvlJc w:val="left"/>
      <w:pPr>
        <w:ind w:left="720" w:hanging="360"/>
      </w:p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981587"/>
    <w:multiLevelType w:val="hybridMultilevel"/>
    <w:tmpl w:val="0A280D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DB4A04"/>
    <w:multiLevelType w:val="hybridMultilevel"/>
    <w:tmpl w:val="79D41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4A0BB8"/>
    <w:multiLevelType w:val="hybridMultilevel"/>
    <w:tmpl w:val="7DD6118A"/>
    <w:lvl w:ilvl="0" w:tplc="FFFFFFFF">
      <w:start w:val="1"/>
      <w:numFmt w:val="lowerLetter"/>
      <w:lvlText w:val="%1)"/>
      <w:lvlJc w:val="left"/>
      <w:pPr>
        <w:ind w:left="720" w:hanging="360"/>
      </w:pPr>
    </w:lvl>
    <w:lvl w:ilvl="1" w:tplc="040C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67327A"/>
    <w:multiLevelType w:val="hybridMultilevel"/>
    <w:tmpl w:val="85049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FB20F9"/>
    <w:multiLevelType w:val="hybridMultilevel"/>
    <w:tmpl w:val="6CC8C6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0F1F24"/>
    <w:multiLevelType w:val="hybridMultilevel"/>
    <w:tmpl w:val="3258E142"/>
    <w:lvl w:ilvl="0" w:tplc="D5BAEF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523D67"/>
    <w:multiLevelType w:val="hybridMultilevel"/>
    <w:tmpl w:val="9A205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0315B0"/>
    <w:multiLevelType w:val="hybridMultilevel"/>
    <w:tmpl w:val="5036B1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5F287B"/>
    <w:multiLevelType w:val="hybridMultilevel"/>
    <w:tmpl w:val="A8543E5A"/>
    <w:lvl w:ilvl="0" w:tplc="D5BAEF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84599166">
    <w:abstractNumId w:val="8"/>
  </w:num>
  <w:num w:numId="2" w16cid:durableId="472674414">
    <w:abstractNumId w:val="13"/>
  </w:num>
  <w:num w:numId="3" w16cid:durableId="1561163117">
    <w:abstractNumId w:val="3"/>
  </w:num>
  <w:num w:numId="4" w16cid:durableId="1789886401">
    <w:abstractNumId w:val="12"/>
  </w:num>
  <w:num w:numId="5" w16cid:durableId="2133283501">
    <w:abstractNumId w:val="1"/>
  </w:num>
  <w:num w:numId="6" w16cid:durableId="97453263">
    <w:abstractNumId w:val="5"/>
  </w:num>
  <w:num w:numId="7" w16cid:durableId="1228106112">
    <w:abstractNumId w:val="4"/>
  </w:num>
  <w:num w:numId="8" w16cid:durableId="1284577965">
    <w:abstractNumId w:val="2"/>
  </w:num>
  <w:num w:numId="9" w16cid:durableId="1534003080">
    <w:abstractNumId w:val="6"/>
  </w:num>
  <w:num w:numId="10" w16cid:durableId="949704572">
    <w:abstractNumId w:val="0"/>
  </w:num>
  <w:num w:numId="11" w16cid:durableId="460880218">
    <w:abstractNumId w:val="15"/>
  </w:num>
  <w:num w:numId="12" w16cid:durableId="978075216">
    <w:abstractNumId w:val="7"/>
  </w:num>
  <w:num w:numId="13" w16cid:durableId="1196164218">
    <w:abstractNumId w:val="14"/>
  </w:num>
  <w:num w:numId="14" w16cid:durableId="1410224828">
    <w:abstractNumId w:val="9"/>
  </w:num>
  <w:num w:numId="15" w16cid:durableId="147526882">
    <w:abstractNumId w:val="11"/>
  </w:num>
  <w:num w:numId="16" w16cid:durableId="1747799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FD"/>
    <w:rsid w:val="00102F5B"/>
    <w:rsid w:val="00113372"/>
    <w:rsid w:val="001A3A1D"/>
    <w:rsid w:val="00356479"/>
    <w:rsid w:val="004D7BCC"/>
    <w:rsid w:val="00537246"/>
    <w:rsid w:val="006635D0"/>
    <w:rsid w:val="0077405C"/>
    <w:rsid w:val="008367C2"/>
    <w:rsid w:val="009D37FD"/>
    <w:rsid w:val="00A46DF8"/>
    <w:rsid w:val="00C86A0B"/>
    <w:rsid w:val="00D86CFF"/>
    <w:rsid w:val="00E40756"/>
    <w:rsid w:val="00E91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9BD635"/>
  <w15:chartTrackingRefBased/>
  <w15:docId w15:val="{397B2565-1D62-9A4F-801B-D4142C34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56983">
      <w:bodyDiv w:val="1"/>
      <w:marLeft w:val="0"/>
      <w:marRight w:val="0"/>
      <w:marTop w:val="0"/>
      <w:marBottom w:val="0"/>
      <w:divBdr>
        <w:top w:val="none" w:sz="0" w:space="0" w:color="auto"/>
        <w:left w:val="none" w:sz="0" w:space="0" w:color="auto"/>
        <w:bottom w:val="none" w:sz="0" w:space="0" w:color="auto"/>
        <w:right w:val="none" w:sz="0" w:space="0" w:color="auto"/>
      </w:divBdr>
      <w:divsChild>
        <w:div w:id="1505051605">
          <w:marLeft w:val="0"/>
          <w:marRight w:val="0"/>
          <w:marTop w:val="0"/>
          <w:marBottom w:val="0"/>
          <w:divBdr>
            <w:top w:val="none" w:sz="0" w:space="0" w:color="auto"/>
            <w:left w:val="none" w:sz="0" w:space="0" w:color="auto"/>
            <w:bottom w:val="none" w:sz="0" w:space="0" w:color="auto"/>
            <w:right w:val="none" w:sz="0" w:space="0" w:color="auto"/>
          </w:divBdr>
          <w:divsChild>
            <w:div w:id="1340422914">
              <w:marLeft w:val="0"/>
              <w:marRight w:val="0"/>
              <w:marTop w:val="0"/>
              <w:marBottom w:val="0"/>
              <w:divBdr>
                <w:top w:val="none" w:sz="0" w:space="0" w:color="auto"/>
                <w:left w:val="none" w:sz="0" w:space="0" w:color="auto"/>
                <w:bottom w:val="none" w:sz="0" w:space="0" w:color="auto"/>
                <w:right w:val="none" w:sz="0" w:space="0" w:color="auto"/>
              </w:divBdr>
              <w:divsChild>
                <w:div w:id="637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7653">
      <w:bodyDiv w:val="1"/>
      <w:marLeft w:val="0"/>
      <w:marRight w:val="0"/>
      <w:marTop w:val="0"/>
      <w:marBottom w:val="0"/>
      <w:divBdr>
        <w:top w:val="none" w:sz="0" w:space="0" w:color="auto"/>
        <w:left w:val="none" w:sz="0" w:space="0" w:color="auto"/>
        <w:bottom w:val="none" w:sz="0" w:space="0" w:color="auto"/>
        <w:right w:val="none" w:sz="0" w:space="0" w:color="auto"/>
      </w:divBdr>
      <w:divsChild>
        <w:div w:id="1650210348">
          <w:marLeft w:val="0"/>
          <w:marRight w:val="0"/>
          <w:marTop w:val="0"/>
          <w:marBottom w:val="0"/>
          <w:divBdr>
            <w:top w:val="none" w:sz="0" w:space="0" w:color="auto"/>
            <w:left w:val="none" w:sz="0" w:space="0" w:color="auto"/>
            <w:bottom w:val="none" w:sz="0" w:space="0" w:color="auto"/>
            <w:right w:val="none" w:sz="0" w:space="0" w:color="auto"/>
          </w:divBdr>
          <w:divsChild>
            <w:div w:id="1636643022">
              <w:marLeft w:val="0"/>
              <w:marRight w:val="0"/>
              <w:marTop w:val="0"/>
              <w:marBottom w:val="0"/>
              <w:divBdr>
                <w:top w:val="none" w:sz="0" w:space="0" w:color="auto"/>
                <w:left w:val="none" w:sz="0" w:space="0" w:color="auto"/>
                <w:bottom w:val="none" w:sz="0" w:space="0" w:color="auto"/>
                <w:right w:val="none" w:sz="0" w:space="0" w:color="auto"/>
              </w:divBdr>
              <w:divsChild>
                <w:div w:id="202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416">
      <w:bodyDiv w:val="1"/>
      <w:marLeft w:val="0"/>
      <w:marRight w:val="0"/>
      <w:marTop w:val="0"/>
      <w:marBottom w:val="0"/>
      <w:divBdr>
        <w:top w:val="none" w:sz="0" w:space="0" w:color="auto"/>
        <w:left w:val="none" w:sz="0" w:space="0" w:color="auto"/>
        <w:bottom w:val="none" w:sz="0" w:space="0" w:color="auto"/>
        <w:right w:val="none" w:sz="0" w:space="0" w:color="auto"/>
      </w:divBdr>
      <w:divsChild>
        <w:div w:id="103036909">
          <w:marLeft w:val="0"/>
          <w:marRight w:val="0"/>
          <w:marTop w:val="0"/>
          <w:marBottom w:val="0"/>
          <w:divBdr>
            <w:top w:val="none" w:sz="0" w:space="0" w:color="auto"/>
            <w:left w:val="none" w:sz="0" w:space="0" w:color="auto"/>
            <w:bottom w:val="none" w:sz="0" w:space="0" w:color="auto"/>
            <w:right w:val="none" w:sz="0" w:space="0" w:color="auto"/>
          </w:divBdr>
          <w:divsChild>
            <w:div w:id="752509714">
              <w:marLeft w:val="0"/>
              <w:marRight w:val="0"/>
              <w:marTop w:val="0"/>
              <w:marBottom w:val="0"/>
              <w:divBdr>
                <w:top w:val="none" w:sz="0" w:space="0" w:color="auto"/>
                <w:left w:val="none" w:sz="0" w:space="0" w:color="auto"/>
                <w:bottom w:val="none" w:sz="0" w:space="0" w:color="auto"/>
                <w:right w:val="none" w:sz="0" w:space="0" w:color="auto"/>
              </w:divBdr>
              <w:divsChild>
                <w:div w:id="1565675273">
                  <w:marLeft w:val="0"/>
                  <w:marRight w:val="0"/>
                  <w:marTop w:val="0"/>
                  <w:marBottom w:val="0"/>
                  <w:divBdr>
                    <w:top w:val="none" w:sz="0" w:space="0" w:color="auto"/>
                    <w:left w:val="none" w:sz="0" w:space="0" w:color="auto"/>
                    <w:bottom w:val="none" w:sz="0" w:space="0" w:color="auto"/>
                    <w:right w:val="none" w:sz="0" w:space="0" w:color="auto"/>
                  </w:divBdr>
                </w:div>
              </w:divsChild>
            </w:div>
            <w:div w:id="738097364">
              <w:marLeft w:val="0"/>
              <w:marRight w:val="0"/>
              <w:marTop w:val="0"/>
              <w:marBottom w:val="0"/>
              <w:divBdr>
                <w:top w:val="none" w:sz="0" w:space="0" w:color="auto"/>
                <w:left w:val="none" w:sz="0" w:space="0" w:color="auto"/>
                <w:bottom w:val="none" w:sz="0" w:space="0" w:color="auto"/>
                <w:right w:val="none" w:sz="0" w:space="0" w:color="auto"/>
              </w:divBdr>
              <w:divsChild>
                <w:div w:id="16344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985">
          <w:marLeft w:val="0"/>
          <w:marRight w:val="0"/>
          <w:marTop w:val="0"/>
          <w:marBottom w:val="0"/>
          <w:divBdr>
            <w:top w:val="none" w:sz="0" w:space="0" w:color="auto"/>
            <w:left w:val="none" w:sz="0" w:space="0" w:color="auto"/>
            <w:bottom w:val="none" w:sz="0" w:space="0" w:color="auto"/>
            <w:right w:val="none" w:sz="0" w:space="0" w:color="auto"/>
          </w:divBdr>
          <w:divsChild>
            <w:div w:id="692802958">
              <w:marLeft w:val="0"/>
              <w:marRight w:val="0"/>
              <w:marTop w:val="0"/>
              <w:marBottom w:val="0"/>
              <w:divBdr>
                <w:top w:val="none" w:sz="0" w:space="0" w:color="auto"/>
                <w:left w:val="none" w:sz="0" w:space="0" w:color="auto"/>
                <w:bottom w:val="none" w:sz="0" w:space="0" w:color="auto"/>
                <w:right w:val="none" w:sz="0" w:space="0" w:color="auto"/>
              </w:divBdr>
              <w:divsChild>
                <w:div w:id="622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2566</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CARRIERE</dc:creator>
  <cp:keywords/>
  <dc:description/>
  <cp:lastModifiedBy>Pauline CARRIERE</cp:lastModifiedBy>
  <cp:revision>2</cp:revision>
  <dcterms:created xsi:type="dcterms:W3CDTF">2023-11-23T16:23:00Z</dcterms:created>
  <dcterms:modified xsi:type="dcterms:W3CDTF">2023-11-23T17:54:00Z</dcterms:modified>
</cp:coreProperties>
</file>